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rPr>
      </w:pPr>
    </w:p>
    <w:p>
      <w:pPr>
        <w:ind w:right="105"/>
        <w:jc w:val="right"/>
        <w:rPr>
          <w:rFonts w:ascii="黑体" w:hAnsi="黑体" w:eastAsia="黑体"/>
          <w:b/>
          <w:spacing w:val="40"/>
          <w:w w:val="66"/>
          <w:sz w:val="60"/>
          <w:szCs w:val="60"/>
        </w:rPr>
      </w:pPr>
      <w:r>
        <w:rPr>
          <w:rFonts w:ascii="黑体" w:hAnsi="黑体" w:eastAsia="黑体"/>
          <w:b/>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271780</wp:posOffset>
                </wp:positionV>
                <wp:extent cx="359410" cy="5715"/>
                <wp:effectExtent l="1270" t="95250" r="20320" b="10858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359410" cy="5715"/>
                        </a:xfrm>
                        <a:prstGeom prst="line">
                          <a:avLst/>
                        </a:prstGeom>
                        <a:noFill/>
                        <a:ln w="190500">
                          <a:solidFill>
                            <a:srgbClr val="4B69B5"/>
                          </a:solidFill>
                          <a:round/>
                        </a:ln>
                        <a:effectLst/>
                      </wps:spPr>
                      <wps:bodyPr/>
                    </wps:wsp>
                  </a:graphicData>
                </a:graphic>
              </wp:anchor>
            </w:drawing>
          </mc:Choice>
          <mc:Fallback>
            <w:pict>
              <v:line id="_x0000_s1026" o:spid="_x0000_s1026" o:spt="20" style="position:absolute;left:0pt;margin-left:-10.4pt;margin-top:21.4pt;height:0.45pt;width:28.3pt;z-index:251659264;mso-width-relative:page;mso-height-relative:page;" filled="f" stroked="t" coordsize="21600,21600" o:gfxdata="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3OQ7b1gAAAAgBAAAPAAAAAAAAAAEAIAAAACIAAABkcnMvZG93bnJldi54bWxQSwECFAAUAAAA&#10;CACHTuJAE0q9Y/ABAAC8AwAADgAAAAAAAAABACAAAAAlAQAAZHJzL2Uyb0RvYy54bWxQSwUGAAAA&#10;AAYABgBZAQAAhwUAAAAA&#10;">
                <v:fill on="f" focussize="0,0"/>
                <v:stroke weight="15pt" color="#4B69B5" joinstyle="round"/>
                <v:imagedata o:title=""/>
                <o:lock v:ext="edit" aspectratio="f"/>
              </v:line>
            </w:pict>
          </mc:Fallback>
        </mc:AlternateContent>
      </w:r>
      <w:r>
        <w:rPr>
          <w:rFonts w:hint="eastAsia" w:ascii="黑体" w:hAnsi="黑体" w:eastAsia="黑体"/>
          <w:b/>
          <w:spacing w:val="40"/>
          <w:w w:val="66"/>
          <w:sz w:val="60"/>
          <w:szCs w:val="60"/>
        </w:rPr>
        <w:t>天津市滨海新区公安局执法执勤用车机动车保险服务</w:t>
      </w:r>
      <w:r>
        <w:rPr>
          <w:rFonts w:ascii="黑体" w:hAnsi="黑体" w:eastAsia="黑体"/>
          <w:b/>
          <w:spacing w:val="40"/>
          <w:w w:val="66"/>
          <w:sz w:val="60"/>
          <w:szCs w:val="60"/>
        </w:rPr>
        <w:t>项目</w:t>
      </w:r>
    </w:p>
    <w:p>
      <w:pPr>
        <w:ind w:right="105"/>
        <w:jc w:val="right"/>
        <w:rPr>
          <w:rFonts w:ascii="黑体" w:hAnsi="黑体" w:eastAsia="黑体"/>
          <w:b/>
          <w:spacing w:val="40"/>
          <w:w w:val="66"/>
          <w:sz w:val="60"/>
          <w:szCs w:val="60"/>
        </w:rPr>
      </w:pPr>
      <w:r>
        <w:rPr>
          <w:rFonts w:ascii="黑体" w:hAnsi="黑体" w:eastAsia="黑体"/>
          <w:b/>
          <w:spacing w:val="40"/>
          <w:sz w:val="60"/>
          <w:szCs w:val="60"/>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295275</wp:posOffset>
                </wp:positionV>
                <wp:extent cx="2919095" cy="10795"/>
                <wp:effectExtent l="635" t="95250" r="13970" b="10350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919095" cy="10795"/>
                        </a:xfrm>
                        <a:prstGeom prst="line">
                          <a:avLst/>
                        </a:prstGeom>
                        <a:noFill/>
                        <a:ln w="190500">
                          <a:solidFill>
                            <a:srgbClr val="4B69B5"/>
                          </a:solidFill>
                          <a:round/>
                        </a:ln>
                        <a:effectLst/>
                      </wps:spPr>
                      <wps:bodyPr/>
                    </wps:wsp>
                  </a:graphicData>
                </a:graphic>
              </wp:anchor>
            </w:drawing>
          </mc:Choice>
          <mc:Fallback>
            <w:pict>
              <v:line id="_x0000_s1026" o:spid="_x0000_s1026" o:spt="20" style="position:absolute;left:0pt;margin-left:-9.65pt;margin-top:23.25pt;height:0.85pt;width:229.85pt;z-index:251660288;mso-width-relative:page;mso-height-relative:page;" filled="f" stroked="t" coordsize="21600,21600" o:gfxdata="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A6N7YAAAACQEAAA8AAAAAAAAAAQAgAAAAIgAAAGRycy9kb3ducmV2LnhtbFBLAQIUABQA&#10;AAAIAIdO4kB8gg+w8AEAAL4DAAAOAAAAAAAAAAEAIAAAACcBAABkcnMvZTJvRG9jLnhtbFBLBQYA&#10;AAAABgAGAFkBAACJBQAAAAA=&#10;">
                <v:fill on="f" focussize="0,0"/>
                <v:stroke weight="15pt" color="#4B69B5" joinstyle="round"/>
                <v:imagedata o:title=""/>
                <o:lock v:ext="edit" aspectratio="f"/>
              </v:line>
            </w:pict>
          </mc:Fallback>
        </mc:AlternateContent>
      </w:r>
      <w:r>
        <w:rPr>
          <w:rFonts w:eastAsia="黑体"/>
          <w:b/>
          <w:spacing w:val="40"/>
          <w:w w:val="66"/>
          <w:sz w:val="60"/>
          <w:szCs w:val="60"/>
        </w:rPr>
        <w:t>竞争性磋商</w:t>
      </w:r>
      <w:r>
        <w:rPr>
          <w:rFonts w:ascii="黑体" w:hAnsi="黑体" w:eastAsia="黑体"/>
          <w:b/>
          <w:spacing w:val="40"/>
          <w:w w:val="66"/>
          <w:sz w:val="60"/>
          <w:szCs w:val="60"/>
        </w:rPr>
        <w:t>文件</w:t>
      </w:r>
    </w:p>
    <w:p>
      <w:pPr>
        <w:ind w:right="1025"/>
        <w:jc w:val="center"/>
        <w:rPr>
          <w:rFonts w:ascii="黑体" w:hAnsi="黑体" w:eastAsia="黑体"/>
          <w:b/>
          <w:spacing w:val="40"/>
          <w:w w:val="66"/>
          <w:sz w:val="60"/>
          <w:szCs w:val="60"/>
        </w:rPr>
      </w:pPr>
    </w:p>
    <w:p>
      <w:pPr>
        <w:jc w:val="center"/>
        <w:rPr>
          <w:rFonts w:ascii="黑体" w:hAnsi="黑体" w:eastAsia="黑体"/>
          <w:b/>
          <w:spacing w:val="40"/>
          <w:w w:val="66"/>
          <w:sz w:val="15"/>
          <w:szCs w:val="15"/>
        </w:rPr>
      </w:pPr>
    </w:p>
    <w:p>
      <w:pPr>
        <w:jc w:val="center"/>
        <w:rPr>
          <w:rFonts w:ascii="黑体" w:hAnsi="黑体" w:eastAsia="黑体"/>
          <w:b/>
          <w:color w:val="FF0000"/>
          <w:spacing w:val="40"/>
          <w:w w:val="66"/>
          <w:sz w:val="32"/>
          <w:szCs w:val="32"/>
        </w:rPr>
      </w:pPr>
      <w:r>
        <w:rPr>
          <w:rFonts w:ascii="黑体" w:hAnsi="黑体" w:eastAsia="黑体"/>
          <w:b/>
          <w:spacing w:val="40"/>
          <w:w w:val="66"/>
          <w:sz w:val="32"/>
          <w:szCs w:val="32"/>
        </w:rPr>
        <w:t>（项目编号：</w:t>
      </w:r>
      <w:r>
        <w:rPr>
          <w:rFonts w:hint="eastAsia" w:ascii="黑体" w:hAnsi="黑体" w:eastAsia="黑体"/>
          <w:b/>
          <w:spacing w:val="40"/>
          <w:w w:val="66"/>
          <w:sz w:val="32"/>
          <w:szCs w:val="32"/>
        </w:rPr>
        <w:t>TJBH-2024-D-00</w:t>
      </w:r>
      <w:r>
        <w:rPr>
          <w:rFonts w:hint="eastAsia" w:ascii="黑体" w:hAnsi="黑体" w:eastAsia="黑体"/>
          <w:b/>
          <w:spacing w:val="40"/>
          <w:w w:val="66"/>
          <w:sz w:val="32"/>
          <w:szCs w:val="32"/>
          <w:lang w:val="en-US" w:eastAsia="zh-CN"/>
        </w:rPr>
        <w:t>41</w:t>
      </w:r>
      <w:r>
        <w:rPr>
          <w:rFonts w:ascii="黑体" w:hAnsi="黑体" w:eastAsia="黑体"/>
          <w:b/>
          <w:spacing w:val="40"/>
          <w:w w:val="66"/>
          <w:sz w:val="32"/>
          <w:szCs w:val="32"/>
        </w:rPr>
        <w:t>）</w:t>
      </w:r>
    </w:p>
    <w:p>
      <w:pPr>
        <w:rPr>
          <w:rFonts w:ascii="黑体" w:hAnsi="黑体" w:eastAsia="黑体"/>
          <w:b/>
          <w:sz w:val="40"/>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rPr>
          <w:rFonts w:ascii="黑体" w:hAnsi="黑体" w:eastAsia="黑体"/>
          <w:b/>
          <w:sz w:val="36"/>
        </w:rPr>
      </w:pPr>
    </w:p>
    <w:p>
      <w:pPr>
        <w:jc w:val="center"/>
        <w:rPr>
          <w:rFonts w:ascii="黑体" w:hAnsi="黑体" w:eastAsia="黑体"/>
          <w:b/>
          <w:spacing w:val="20"/>
          <w:w w:val="66"/>
          <w:sz w:val="44"/>
          <w:szCs w:val="44"/>
        </w:rPr>
      </w:pPr>
      <w:r>
        <w:rPr>
          <w:rFonts w:ascii="黑体" w:hAnsi="黑体" w:eastAsia="黑体"/>
          <w:b/>
          <w:spacing w:val="20"/>
          <w:w w:val="66"/>
          <w:sz w:val="44"/>
          <w:szCs w:val="44"/>
        </w:rPr>
        <w:t>天津市</w:t>
      </w:r>
      <w:r>
        <w:rPr>
          <w:rFonts w:hint="eastAsia" w:ascii="黑体" w:hAnsi="黑体" w:eastAsia="黑体"/>
          <w:b/>
          <w:spacing w:val="20"/>
          <w:w w:val="66"/>
          <w:sz w:val="44"/>
          <w:szCs w:val="44"/>
        </w:rPr>
        <w:t>滨海新区</w:t>
      </w:r>
      <w:r>
        <w:rPr>
          <w:rFonts w:ascii="黑体" w:hAnsi="黑体" w:eastAsia="黑体"/>
          <w:b/>
          <w:spacing w:val="20"/>
          <w:w w:val="66"/>
          <w:sz w:val="44"/>
          <w:szCs w:val="44"/>
        </w:rPr>
        <w:t>政府采购中心</w:t>
      </w:r>
    </w:p>
    <w:p>
      <w:pPr>
        <w:tabs>
          <w:tab w:val="left" w:pos="3281"/>
          <w:tab w:val="center" w:pos="4711"/>
        </w:tabs>
        <w:jc w:val="center"/>
        <w:rPr>
          <w:rFonts w:hint="eastAsia" w:eastAsia="宋体"/>
          <w:b/>
          <w:bCs/>
          <w:kern w:val="0"/>
          <w:sz w:val="44"/>
          <w:szCs w:val="44"/>
          <w:lang w:val="en-US" w:eastAsia="zh-CN"/>
        </w:rPr>
      </w:pPr>
      <w:r>
        <w:rPr>
          <w:b/>
          <w:bCs/>
          <w:kern w:val="0"/>
          <w:sz w:val="44"/>
          <w:szCs w:val="44"/>
        </w:rPr>
        <w:t>2024.</w:t>
      </w:r>
      <w:r>
        <w:rPr>
          <w:rFonts w:hint="eastAsia"/>
          <w:b/>
          <w:bCs/>
          <w:kern w:val="0"/>
          <w:sz w:val="44"/>
          <w:szCs w:val="44"/>
          <w:lang w:val="en-US" w:eastAsia="zh-CN"/>
        </w:rPr>
        <w:t>4</w:t>
      </w:r>
    </w:p>
    <w:p>
      <w:pPr>
        <w:widowControl/>
        <w:jc w:val="left"/>
        <w:rPr>
          <w:b/>
          <w:bCs/>
          <w:kern w:val="0"/>
          <w:sz w:val="44"/>
          <w:szCs w:val="44"/>
        </w:rPr>
      </w:pPr>
    </w:p>
    <w:p>
      <w:pPr>
        <w:ind w:firstLine="408" w:firstLineChars="100"/>
        <w:jc w:val="center"/>
        <w:rPr>
          <w:b/>
          <w:spacing w:val="20"/>
          <w:w w:val="80"/>
          <w:sz w:val="48"/>
          <w:szCs w:val="48"/>
        </w:rPr>
        <w:sectPr>
          <w:pgSz w:w="11906" w:h="16838"/>
          <w:pgMar w:top="1440" w:right="1797" w:bottom="1440" w:left="1797" w:header="851" w:footer="992" w:gutter="0"/>
          <w:pgNumType w:start="1"/>
          <w:cols w:space="425" w:num="1"/>
          <w:docGrid w:type="linesAndChars" w:linePitch="285" w:charSpace="-3449"/>
        </w:sectPr>
      </w:pPr>
    </w:p>
    <w:p>
      <w:pPr>
        <w:ind w:firstLine="408" w:firstLineChars="100"/>
        <w:jc w:val="center"/>
        <w:rPr>
          <w:b/>
          <w:spacing w:val="20"/>
          <w:w w:val="80"/>
          <w:sz w:val="48"/>
          <w:szCs w:val="48"/>
        </w:rPr>
      </w:pPr>
      <w:r>
        <w:rPr>
          <w:b/>
          <w:spacing w:val="20"/>
          <w:w w:val="80"/>
          <w:sz w:val="48"/>
          <w:szCs w:val="48"/>
        </w:rPr>
        <w:t>目录</w:t>
      </w:r>
    </w:p>
    <w:p>
      <w:pPr>
        <w:pStyle w:val="13"/>
        <w:rPr>
          <w:rFonts w:hint="eastAsia"/>
          <w:sz w:val="28"/>
          <w:szCs w:val="28"/>
        </w:rPr>
      </w:pPr>
    </w:p>
    <w:p>
      <w:pPr>
        <w:pStyle w:val="13"/>
        <w:rPr>
          <w:sz w:val="28"/>
          <w:szCs w:val="28"/>
        </w:rPr>
      </w:pPr>
      <w:r>
        <w:rPr>
          <w:rFonts w:hint="eastAsia"/>
          <w:sz w:val="28"/>
          <w:szCs w:val="28"/>
        </w:rPr>
        <w:t>第一部分磋商邀请函</w:t>
      </w:r>
    </w:p>
    <w:p/>
    <w:p>
      <w:pPr>
        <w:pStyle w:val="13"/>
        <w:rPr>
          <w:sz w:val="28"/>
          <w:szCs w:val="28"/>
        </w:rPr>
      </w:pPr>
      <w:r>
        <w:rPr>
          <w:rFonts w:hint="eastAsia"/>
          <w:sz w:val="28"/>
          <w:szCs w:val="28"/>
        </w:rPr>
        <w:t>第二部分磋商项目要求</w:t>
      </w:r>
    </w:p>
    <w:p/>
    <w:p>
      <w:pPr>
        <w:pStyle w:val="13"/>
        <w:rPr>
          <w:sz w:val="28"/>
          <w:szCs w:val="28"/>
        </w:rPr>
      </w:pPr>
      <w:r>
        <w:rPr>
          <w:rFonts w:hint="eastAsia"/>
          <w:sz w:val="28"/>
          <w:szCs w:val="28"/>
        </w:rPr>
        <w:t>第三部分供应商须知</w:t>
      </w:r>
    </w:p>
    <w:p/>
    <w:p>
      <w:pPr>
        <w:pStyle w:val="13"/>
        <w:rPr>
          <w:sz w:val="28"/>
          <w:szCs w:val="28"/>
        </w:rPr>
      </w:pPr>
      <w:r>
        <w:rPr>
          <w:rFonts w:hint="eastAsia"/>
          <w:sz w:val="28"/>
          <w:szCs w:val="28"/>
        </w:rPr>
        <w:t>第四部分合同草案</w:t>
      </w:r>
    </w:p>
    <w:p/>
    <w:p>
      <w:pPr>
        <w:pStyle w:val="13"/>
        <w:rPr>
          <w:sz w:val="28"/>
          <w:szCs w:val="28"/>
        </w:rPr>
      </w:pPr>
      <w:r>
        <w:rPr>
          <w:rFonts w:hint="eastAsia"/>
          <w:sz w:val="28"/>
          <w:szCs w:val="28"/>
        </w:rPr>
        <w:t>第五部分响应文件格式</w:t>
      </w:r>
    </w:p>
    <w:p>
      <w:pPr>
        <w:rPr>
          <w:sz w:val="24"/>
        </w:rPr>
      </w:pPr>
    </w:p>
    <w:p>
      <w:pPr>
        <w:rPr>
          <w:sz w:val="24"/>
        </w:rPr>
      </w:pPr>
    </w:p>
    <w:p>
      <w:pPr>
        <w:rPr>
          <w:sz w:val="24"/>
        </w:rPr>
      </w:pPr>
    </w:p>
    <w:p>
      <w:pPr>
        <w:rPr>
          <w:sz w:val="24"/>
        </w:rPr>
      </w:pPr>
    </w:p>
    <w:p>
      <w:pPr>
        <w:rPr>
          <w:sz w:val="24"/>
        </w:rPr>
      </w:pPr>
    </w:p>
    <w:p>
      <w:pPr>
        <w:rPr>
          <w:b/>
        </w:rPr>
      </w:pPr>
    </w:p>
    <w:p>
      <w:pPr>
        <w:pStyle w:val="14"/>
        <w:rPr>
          <w:rFonts w:ascii="Times New Roman" w:hAnsi="Times New Roman"/>
        </w:rPr>
        <w:sectPr>
          <w:pgSz w:w="11906" w:h="16838"/>
          <w:pgMar w:top="1440" w:right="1797" w:bottom="1440" w:left="1797" w:header="851" w:footer="992" w:gutter="0"/>
          <w:pgNumType w:start="1"/>
          <w:cols w:space="425" w:num="1"/>
          <w:docGrid w:type="linesAndChars" w:linePitch="285" w:charSpace="-3449"/>
        </w:sectPr>
      </w:pPr>
      <w:bookmarkStart w:id="0" w:name="_Toc412903614"/>
    </w:p>
    <w:p>
      <w:pPr>
        <w:pStyle w:val="14"/>
        <w:rPr>
          <w:rFonts w:ascii="Times New Roman" w:hAnsi="Times New Roman"/>
        </w:rPr>
      </w:pPr>
      <w:r>
        <w:rPr>
          <w:rFonts w:ascii="Times New Roman" w:hAnsi="Times New Roman"/>
        </w:rPr>
        <w:t>第一部分</w:t>
      </w:r>
      <w:bookmarkEnd w:id="0"/>
      <w:r>
        <w:rPr>
          <w:rFonts w:ascii="Times New Roman" w:hAnsi="Times New Roman"/>
        </w:rPr>
        <w:t>磋商邀请函</w:t>
      </w:r>
    </w:p>
    <w:p>
      <w:pPr>
        <w:pStyle w:val="31"/>
        <w:spacing w:line="360" w:lineRule="auto"/>
        <w:ind w:firstLine="448" w:firstLineChars="200"/>
        <w:jc w:val="both"/>
        <w:rPr>
          <w:rFonts w:ascii="Times New Roman" w:hAnsi="Times New Roman" w:eastAsia="宋体" w:cs="Times New Roman"/>
          <w:color w:val="auto"/>
          <w:szCs w:val="32"/>
        </w:rPr>
      </w:pPr>
      <w:r>
        <w:rPr>
          <w:rFonts w:ascii="Times New Roman" w:hAnsi="Times New Roman" w:eastAsia="宋体" w:cs="Times New Roman"/>
          <w:color w:val="auto"/>
          <w:szCs w:val="32"/>
        </w:rPr>
        <w:t>受</w:t>
      </w:r>
      <w:r>
        <w:rPr>
          <w:rFonts w:hint="eastAsia" w:ascii="Times New Roman" w:hAnsi="Times New Roman" w:eastAsia="宋体" w:cs="Times New Roman"/>
          <w:color w:val="auto"/>
          <w:szCs w:val="32"/>
        </w:rPr>
        <w:t>天津市滨海新区公安局机关</w:t>
      </w:r>
      <w:r>
        <w:rPr>
          <w:rFonts w:ascii="Times New Roman" w:hAnsi="Times New Roman" w:eastAsia="宋体" w:cs="Times New Roman"/>
          <w:color w:val="auto"/>
          <w:szCs w:val="32"/>
        </w:rPr>
        <w:t>委托，天津市</w:t>
      </w:r>
      <w:r>
        <w:rPr>
          <w:rFonts w:hint="eastAsia" w:ascii="Times New Roman" w:hAnsi="Times New Roman" w:eastAsia="宋体" w:cs="Times New Roman"/>
          <w:color w:val="auto"/>
          <w:szCs w:val="32"/>
        </w:rPr>
        <w:t>滨海新区</w:t>
      </w:r>
      <w:r>
        <w:rPr>
          <w:rFonts w:ascii="Times New Roman" w:hAnsi="Times New Roman" w:eastAsia="宋体" w:cs="Times New Roman"/>
          <w:color w:val="auto"/>
          <w:szCs w:val="32"/>
        </w:rPr>
        <w:t>政府采购中心将以</w:t>
      </w:r>
      <w:r>
        <w:rPr>
          <w:rFonts w:ascii="Times New Roman" w:hAnsi="Times New Roman" w:eastAsia="宋体" w:cs="Times New Roman"/>
          <w:color w:val="auto"/>
          <w:kern w:val="2"/>
        </w:rPr>
        <w:t>竞争性磋商</w:t>
      </w:r>
      <w:r>
        <w:rPr>
          <w:rFonts w:ascii="Times New Roman" w:hAnsi="Times New Roman" w:eastAsia="宋体" w:cs="Times New Roman"/>
          <w:color w:val="auto"/>
          <w:szCs w:val="32"/>
        </w:rPr>
        <w:t>方式，对</w:t>
      </w:r>
      <w:r>
        <w:rPr>
          <w:rFonts w:hint="eastAsia" w:ascii="Times New Roman" w:hAnsi="Times New Roman" w:eastAsia="宋体" w:cs="Times New Roman"/>
          <w:color w:val="auto"/>
          <w:szCs w:val="32"/>
        </w:rPr>
        <w:t>天津市滨海新区公安局执法执勤用车机动车保险服务项目</w:t>
      </w:r>
      <w:r>
        <w:rPr>
          <w:rFonts w:ascii="Times New Roman" w:hAnsi="Times New Roman" w:eastAsia="宋体" w:cs="Times New Roman"/>
          <w:color w:val="auto"/>
          <w:szCs w:val="32"/>
        </w:rPr>
        <w:t>实施政府采购。现欢迎合格的供应商参加</w:t>
      </w:r>
      <w:r>
        <w:rPr>
          <w:rFonts w:ascii="Times New Roman" w:hAnsi="Times New Roman" w:eastAsia="宋体" w:cs="Times New Roman"/>
          <w:color w:val="auto"/>
          <w:kern w:val="2"/>
        </w:rPr>
        <w:t>磋商</w:t>
      </w:r>
      <w:r>
        <w:rPr>
          <w:rFonts w:ascii="Times New Roman" w:hAnsi="Times New Roman" w:eastAsia="宋体" w:cs="Times New Roman"/>
          <w:color w:val="auto"/>
          <w:szCs w:val="32"/>
        </w:rPr>
        <w:t>。</w:t>
      </w:r>
    </w:p>
    <w:p>
      <w:pPr>
        <w:pStyle w:val="31"/>
        <w:spacing w:line="360" w:lineRule="auto"/>
        <w:ind w:firstLine="448" w:firstLineChars="200"/>
        <w:jc w:val="both"/>
        <w:rPr>
          <w:rFonts w:ascii="Times New Roman" w:hAnsi="Times New Roman" w:eastAsia="宋体" w:cs="Times New Roman"/>
          <w:color w:val="auto"/>
          <w:szCs w:val="32"/>
        </w:rPr>
      </w:pPr>
      <w:r>
        <w:rPr>
          <w:rFonts w:hint="eastAsia" w:ascii="Times New Roman" w:hAnsi="Times New Roman" w:eastAsia="宋体" w:cs="Times New Roman"/>
          <w:color w:val="auto"/>
          <w:szCs w:val="32"/>
        </w:rPr>
        <w:t>本项目为远程招投标，一律不接受纸质投标文件，只接受加盖投标人电子签章的PDF格式电子投标文件（以通过天津公共资源电子签章客户端正确读取签章信息为准）。供应商参加投标前须办理CA数字证书（USBKey）和电子签章。投标人须按招标文件的规定在天津市政府采购中心招投标系统中提交网上应答并上传加盖投标人电子签章的PDF格式电子投标文件（以通过天津公共资源电子签章客户端正确读取签章信息为准）。</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一、项目名称和编号</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w:t>
      </w:r>
      <w:r>
        <w:rPr>
          <w:rFonts w:hint="eastAsia" w:ascii="Times New Roman" w:hAnsi="Times New Roman" w:eastAsia="宋体" w:cs="Times New Roman"/>
          <w:color w:val="auto"/>
        </w:rPr>
        <w:t>天津市滨海新区公安局执法执勤用车机动车保险服务项目</w:t>
      </w:r>
    </w:p>
    <w:p>
      <w:pPr>
        <w:pStyle w:val="31"/>
        <w:spacing w:line="360" w:lineRule="auto"/>
        <w:ind w:firstLine="448" w:firstLineChars="200"/>
        <w:jc w:val="both"/>
        <w:rPr>
          <w:rFonts w:hint="default" w:ascii="Times New Roman" w:hAnsi="Times New Roman" w:eastAsia="宋体" w:cs="Times New Roman"/>
          <w:color w:val="auto"/>
          <w:lang w:val="en-US" w:eastAsia="zh-CN"/>
        </w:rPr>
      </w:pPr>
      <w:r>
        <w:rPr>
          <w:rFonts w:ascii="Times New Roman" w:hAnsi="Times New Roman" w:eastAsia="宋体" w:cs="Times New Roman"/>
          <w:color w:val="auto"/>
        </w:rPr>
        <w:t>（二）项目编号：</w:t>
      </w:r>
      <w:r>
        <w:rPr>
          <w:rFonts w:hint="eastAsia" w:ascii="Times New Roman" w:hAnsi="Times New Roman" w:eastAsia="宋体" w:cs="Times New Roman"/>
          <w:color w:val="auto"/>
        </w:rPr>
        <w:t>TJBH-2024-D-00</w:t>
      </w:r>
      <w:r>
        <w:rPr>
          <w:rFonts w:hint="eastAsia" w:ascii="Times New Roman" w:hAnsi="Times New Roman" w:eastAsia="宋体" w:cs="Times New Roman"/>
          <w:color w:val="auto"/>
          <w:lang w:val="en-US" w:eastAsia="zh-CN"/>
        </w:rPr>
        <w:t>41</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二、项目内容</w:t>
      </w:r>
    </w:p>
    <w:p>
      <w:pPr>
        <w:pStyle w:val="31"/>
        <w:ind w:firstLine="446"/>
        <w:rPr>
          <w:color w:val="auto"/>
        </w:rPr>
      </w:pPr>
      <w:r>
        <w:rPr>
          <w:rFonts w:ascii="Times New Roman" w:hAnsi="Times New Roman" w:eastAsia="宋体" w:cs="Times New Roman"/>
          <w:color w:val="auto"/>
        </w:rPr>
        <w:t>第一包：</w:t>
      </w:r>
      <w:r>
        <w:rPr>
          <w:rFonts w:hint="eastAsia" w:ascii="Times New Roman" w:hAnsi="Times New Roman" w:eastAsia="宋体" w:cs="Times New Roman"/>
          <w:color w:val="auto"/>
        </w:rPr>
        <w:t>滨海新区公安局车辆保险（</w:t>
      </w:r>
      <w:r>
        <w:rPr>
          <w:rFonts w:hint="eastAsia" w:ascii="Times New Roman" w:hAnsi="Times New Roman" w:eastAsia="宋体" w:cs="Times New Roman"/>
          <w:color w:val="auto"/>
          <w:lang w:val="en-US" w:eastAsia="zh-CN"/>
        </w:rPr>
        <w:t>750</w:t>
      </w:r>
      <w:r>
        <w:rPr>
          <w:rFonts w:hint="eastAsia" w:ascii="Times New Roman" w:hAnsi="Times New Roman" w:eastAsia="宋体" w:cs="Times New Roman"/>
          <w:color w:val="auto"/>
        </w:rPr>
        <w:t>辆）</w:t>
      </w:r>
      <w:r>
        <w:rPr>
          <w:rFonts w:hint="eastAsia" w:ascii="宋体" w:hAnsi="宋体" w:eastAsia="宋体" w:cs="宋体"/>
          <w:color w:val="auto"/>
        </w:rPr>
        <w:t>，合同履行期限：合同规定的保险期限起始之日起1年的保险期（特殊情况以合同为准）。</w:t>
      </w:r>
    </w:p>
    <w:p>
      <w:pPr>
        <w:tabs>
          <w:tab w:val="left" w:pos="210"/>
        </w:tabs>
        <w:autoSpaceDE w:val="0"/>
        <w:autoSpaceDN w:val="0"/>
        <w:adjustRightInd w:val="0"/>
        <w:spacing w:line="360" w:lineRule="auto"/>
        <w:ind w:firstLine="448" w:firstLineChars="200"/>
        <w:outlineLvl w:val="0"/>
        <w:rPr>
          <w:strike/>
          <w:color w:val="auto"/>
          <w:sz w:val="24"/>
          <w:szCs w:val="24"/>
        </w:rPr>
      </w:pPr>
      <w:r>
        <w:rPr>
          <w:color w:val="auto"/>
          <w:sz w:val="24"/>
          <w:szCs w:val="24"/>
          <w:lang w:val="zh-CN"/>
        </w:rPr>
        <w:t>本项目不接受进口产品</w:t>
      </w:r>
      <w:r>
        <w:rPr>
          <w:rFonts w:hint="eastAsia"/>
          <w:color w:val="auto"/>
          <w:sz w:val="24"/>
          <w:szCs w:val="24"/>
          <w:lang w:val="zh-CN"/>
        </w:rPr>
        <w:t>参与磋商</w:t>
      </w:r>
      <w:r>
        <w:rPr>
          <w:color w:val="auto"/>
          <w:sz w:val="24"/>
          <w:szCs w:val="24"/>
          <w:lang w:val="zh-CN"/>
        </w:rPr>
        <w:t>。</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三、项目预算</w:t>
      </w:r>
    </w:p>
    <w:p>
      <w:pPr>
        <w:pStyle w:val="31"/>
        <w:spacing w:line="360" w:lineRule="auto"/>
        <w:ind w:firstLine="448" w:firstLineChars="200"/>
        <w:jc w:val="both"/>
        <w:rPr>
          <w:rFonts w:hint="eastAsia" w:ascii="Times New Roman" w:hAnsi="Times New Roman" w:eastAsia="宋体" w:cs="Times New Roman"/>
          <w:color w:val="auto"/>
          <w:lang w:eastAsia="zh-CN"/>
        </w:rPr>
      </w:pPr>
      <w:r>
        <w:rPr>
          <w:rFonts w:ascii="Times New Roman" w:hAnsi="Times New Roman" w:eastAsia="宋体" w:cs="Times New Roman"/>
          <w:color w:val="auto"/>
        </w:rPr>
        <w:t>第一包：</w:t>
      </w:r>
      <w:r>
        <w:rPr>
          <w:rFonts w:hint="eastAsia" w:ascii="Times New Roman" w:hAnsi="Times New Roman" w:eastAsia="宋体" w:cs="Times New Roman"/>
          <w:color w:val="auto"/>
        </w:rPr>
        <w:t>941967</w:t>
      </w:r>
      <w:r>
        <w:rPr>
          <w:rFonts w:hint="eastAsia" w:ascii="Times New Roman" w:hAnsi="Times New Roman" w:eastAsia="宋体" w:cs="Times New Roman"/>
          <w:color w:val="auto"/>
          <w:lang w:eastAsia="zh-CN"/>
        </w:rPr>
        <w:t>元。</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w:t>
      </w:r>
      <w:r>
        <w:rPr>
          <w:rFonts w:ascii="Times New Roman" w:hAnsi="Times New Roman" w:eastAsia="宋体" w:cs="Times New Roman"/>
          <w:color w:val="auto"/>
        </w:rPr>
        <w:t>、供应商资格要求（实质性要求）</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w:t>
      </w:r>
      <w:r>
        <w:rPr>
          <w:rFonts w:hint="eastAsia" w:ascii="Times New Roman" w:hAnsi="Times New Roman" w:eastAsia="宋体" w:cs="Times New Roman"/>
          <w:color w:val="auto"/>
        </w:rPr>
        <w:t>投标人须具备保险公司法人许可证或经营保险业务许可证或保险许可证，提供证书扫描件，</w:t>
      </w:r>
      <w:r>
        <w:rPr>
          <w:rFonts w:ascii="Times New Roman" w:hAnsi="Times New Roman" w:eastAsia="宋体" w:cs="Times New Roman"/>
          <w:color w:val="auto"/>
        </w:rPr>
        <w:t>证书业务范围至少包含：</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A. 财产损失保险、责任保险</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B. 机动车（辆）保险</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上述A、B两项具备任意一项即可</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w:t>
      </w:r>
      <w:r>
        <w:rPr>
          <w:rFonts w:hint="eastAsia" w:ascii="Times New Roman" w:hAnsi="Times New Roman" w:eastAsia="宋体" w:cs="Times New Roman"/>
          <w:color w:val="auto"/>
        </w:rPr>
        <w:t>若无法人资格的分支机构作为投标人参与本项目政府采购活动的，须提供其所属的法人组织营业执照副本扫描件及法人组织授权书扫描件。</w:t>
      </w:r>
      <w:r>
        <w:rPr>
          <w:rFonts w:ascii="Times New Roman" w:hAnsi="Times New Roman" w:eastAsia="宋体" w:cs="Times New Roman"/>
          <w:color w:val="auto"/>
        </w:rPr>
        <w:t>每个法人企业只能派遣1家分支机构参与</w:t>
      </w:r>
      <w:r>
        <w:rPr>
          <w:rFonts w:hint="eastAsia" w:ascii="Times New Roman" w:hAnsi="Times New Roman" w:eastAsia="宋体" w:cs="Times New Roman"/>
          <w:color w:val="auto"/>
        </w:rPr>
        <w:t>投标</w:t>
      </w:r>
      <w:r>
        <w:rPr>
          <w:rFonts w:ascii="Times New Roman" w:hAnsi="Times New Roman" w:eastAsia="宋体" w:cs="Times New Roman"/>
          <w:color w:val="auto"/>
        </w:rPr>
        <w:t>；</w:t>
      </w:r>
    </w:p>
    <w:p>
      <w:pPr>
        <w:pStyle w:val="31"/>
        <w:spacing w:line="360" w:lineRule="auto"/>
        <w:ind w:firstLine="448" w:firstLineChars="200"/>
        <w:rPr>
          <w:rFonts w:ascii="Times New Roman" w:hAnsi="Times New Roman" w:eastAsia="宋体"/>
          <w:color w:val="auto"/>
        </w:rPr>
      </w:pPr>
      <w:r>
        <w:rPr>
          <w:rFonts w:ascii="Times New Roman" w:hAnsi="Times New Roman" w:eastAsia="宋体"/>
          <w:color w:val="auto"/>
        </w:rPr>
        <w:t>（</w:t>
      </w:r>
      <w:r>
        <w:rPr>
          <w:rFonts w:hint="eastAsia" w:ascii="Times New Roman" w:hAnsi="Times New Roman" w:eastAsia="宋体"/>
          <w:color w:val="auto"/>
        </w:rPr>
        <w:t>三</w:t>
      </w:r>
      <w:r>
        <w:rPr>
          <w:rFonts w:ascii="Times New Roman" w:hAnsi="Times New Roman" w:eastAsia="宋体"/>
          <w:color w:val="auto"/>
        </w:rPr>
        <w:t>）</w:t>
      </w:r>
      <w:r>
        <w:rPr>
          <w:rFonts w:hint="eastAsia" w:ascii="Times New Roman" w:hAnsi="Times New Roman" w:eastAsia="宋体"/>
          <w:color w:val="auto"/>
        </w:rPr>
        <w:t>投标人须具备《中华人民共和国政府采购法》第二十二条第一款规定的条件，提供以下材料：</w:t>
      </w:r>
    </w:p>
    <w:p>
      <w:pPr>
        <w:pStyle w:val="31"/>
        <w:spacing w:line="360" w:lineRule="auto"/>
        <w:ind w:firstLine="448" w:firstLineChars="200"/>
        <w:rPr>
          <w:rFonts w:ascii="Times New Roman" w:hAnsi="Times New Roman" w:eastAsia="宋体"/>
          <w:color w:val="auto"/>
        </w:rPr>
      </w:pPr>
      <w:r>
        <w:rPr>
          <w:rFonts w:hint="eastAsia" w:ascii="Times New Roman" w:hAnsi="Times New Roman" w:eastAsia="宋体"/>
          <w:color w:val="auto"/>
        </w:rPr>
        <w:t>1. 营业执照副本或事业单位法人证书或民办非企业单位登记证书或社会团体法人登记证书或基金会法人登记证书扫描件。</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 财务状况报告等相关材料：</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A. 经第三方会计师事务所审计的2022年度或2023年度财务报告扫描件。</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B. 具有良好的商业信誉和健全的财务会计制度的书面声明。</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注：A、B两项提供任意一项均可。</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 依法缴纳税收和社会保障资金的书面声明。</w:t>
      </w:r>
    </w:p>
    <w:p>
      <w:pPr>
        <w:pStyle w:val="31"/>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4. 投标截止日前3年在经营活动中没有重大违法记录的书面声明（截至开标日成立不足3年的供应商可提供自成立以来无重大违法记录的书面声明）。</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olor w:val="auto"/>
        </w:rPr>
        <w:t>（四）</w:t>
      </w:r>
      <w:r>
        <w:rPr>
          <w:rFonts w:ascii="Times New Roman" w:hAnsi="Times New Roman" w:eastAsia="宋体" w:cs="Times New Roman"/>
          <w:color w:val="auto"/>
        </w:rPr>
        <w:t>本项目不接受联合体</w:t>
      </w:r>
      <w:r>
        <w:rPr>
          <w:rFonts w:hint="eastAsia" w:ascii="Times New Roman" w:hAnsi="Times New Roman" w:eastAsia="宋体" w:cs="Times New Roman"/>
          <w:color w:val="auto"/>
        </w:rPr>
        <w:t>参与磋商</w:t>
      </w:r>
      <w:r>
        <w:rPr>
          <w:rFonts w:ascii="Times New Roman" w:hAnsi="Times New Roman" w:eastAsia="宋体" w:cs="Times New Roman"/>
          <w:color w:val="auto"/>
        </w:rPr>
        <w:t>。</w:t>
      </w:r>
    </w:p>
    <w:p>
      <w:pPr>
        <w:pStyle w:val="31"/>
        <w:spacing w:line="360" w:lineRule="auto"/>
        <w:ind w:firstLine="448" w:firstLineChars="200"/>
        <w:jc w:val="both"/>
        <w:rPr>
          <w:rFonts w:ascii="Times New Roman" w:hAnsi="Times New Roman" w:eastAsia="宋体" w:cs="Times New Roman"/>
          <w:color w:val="auto"/>
        </w:rPr>
      </w:pPr>
      <w:bookmarkStart w:id="1" w:name="_Toc412903615"/>
      <w:r>
        <w:rPr>
          <w:rFonts w:hint="eastAsia" w:ascii="Times New Roman" w:hAnsi="Times New Roman" w:eastAsia="宋体" w:cs="Times New Roman"/>
          <w:color w:val="auto"/>
        </w:rPr>
        <w:t>五</w:t>
      </w:r>
      <w:r>
        <w:rPr>
          <w:rFonts w:ascii="Times New Roman" w:hAnsi="Times New Roman" w:eastAsia="宋体" w:cs="Times New Roman"/>
          <w:color w:val="auto"/>
        </w:rPr>
        <w:t>、项目需要落实的政府采购政策</w:t>
      </w:r>
    </w:p>
    <w:p>
      <w:pPr>
        <w:pStyle w:val="31"/>
        <w:spacing w:line="360" w:lineRule="auto"/>
        <w:ind w:firstLine="448" w:firstLineChars="200"/>
        <w:rPr>
          <w:rFonts w:ascii="Times New Roman" w:hAnsi="Times New Roman" w:eastAsia="宋体" w:cs="Times New Roman"/>
          <w:color w:val="auto"/>
        </w:rPr>
      </w:pPr>
      <w:bookmarkStart w:id="2" w:name="OLE_LINK3"/>
      <w:bookmarkStart w:id="3" w:name="OLE_LINK4"/>
      <w:r>
        <w:rPr>
          <w:rFonts w:ascii="Times New Roman" w:hAnsi="Times New Roman" w:eastAsia="宋体"/>
          <w:color w:val="auto"/>
        </w:rPr>
        <w:t>（一）</w:t>
      </w:r>
      <w:r>
        <w:rPr>
          <w:rFonts w:hint="eastAsia" w:ascii="Times New Roman" w:hAnsi="Times New Roman" w:eastAsia="宋体" w:cs="Times New Roman"/>
          <w:color w:val="auto"/>
        </w:rPr>
        <w:t>根据《政府采购促进中小企业发展管理办法》（财库[2020]46号）规定</w:t>
      </w:r>
      <w:r>
        <w:rPr>
          <w:rFonts w:ascii="Times New Roman" w:hAnsi="Times New Roman" w:eastAsia="宋体" w:cs="Times New Roman"/>
          <w:color w:val="auto"/>
        </w:rPr>
        <w:t>，本项目对</w:t>
      </w:r>
      <w:r>
        <w:rPr>
          <w:rFonts w:hint="eastAsia" w:ascii="Times New Roman" w:hAnsi="Times New Roman" w:eastAsia="宋体" w:cs="Times New Roman"/>
          <w:color w:val="auto"/>
        </w:rPr>
        <w:t>小微企业报价</w:t>
      </w:r>
      <w:r>
        <w:rPr>
          <w:rFonts w:ascii="Times New Roman" w:hAnsi="Times New Roman" w:eastAsia="宋体" w:cs="Times New Roman"/>
          <w:color w:val="auto"/>
        </w:rPr>
        <w:t>给予20%的扣除。</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olor w:val="auto"/>
        </w:rPr>
        <w:t>（二）</w:t>
      </w:r>
      <w:r>
        <w:rPr>
          <w:rFonts w:ascii="Times New Roman" w:hAnsi="Times New Roman" w:eastAsia="宋体" w:cs="Times New Roman"/>
          <w:color w:val="auto"/>
        </w:rPr>
        <w:t>根据财政部发布的《关于政府采购支持监狱企业发展有关问题的通知》规定，监狱企业视同小微企业。</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olor w:val="auto"/>
        </w:rPr>
        <w:t>（三）</w:t>
      </w:r>
      <w:r>
        <w:rPr>
          <w:rFonts w:ascii="Times New Roman" w:hAnsi="Times New Roman" w:eastAsia="宋体" w:cs="Times New Roman"/>
          <w:color w:val="auto"/>
        </w:rPr>
        <w:t>根据财政部、民政部、中国残疾人联合会发布的《关于促进残疾人就业政府采购政策的通知》规定，残疾人福利性单位视同小微企业。</w:t>
      </w:r>
    </w:p>
    <w:p>
      <w:pPr>
        <w:pStyle w:val="31"/>
        <w:spacing w:line="360" w:lineRule="auto"/>
        <w:ind w:firstLine="448" w:firstLineChars="200"/>
        <w:rPr>
          <w:rFonts w:ascii="Times New Roman" w:hAnsi="Times New Roman" w:eastAsia="宋体"/>
          <w:color w:val="auto"/>
        </w:rPr>
      </w:pPr>
      <w:r>
        <w:rPr>
          <w:rFonts w:hint="eastAsia" w:ascii="Times New Roman" w:hAnsi="Times New Roman" w:eastAsia="宋体"/>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pStyle w:val="31"/>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（四）按照《财政部关于在政府采购活动中查询及使用信用记录有关问题的通知》（财库〔2016〕125号）的要求，根据开标当日解密截止时间“信用中国”网站（</w:t>
      </w:r>
      <w:r>
        <w:fldChar w:fldCharType="begin"/>
      </w:r>
      <w:r>
        <w:instrText xml:space="preserve"> HYPERLINK "https://www.creditchina.gov.cn/" </w:instrText>
      </w:r>
      <w:r>
        <w:fldChar w:fldCharType="separate"/>
      </w:r>
      <w:r>
        <w:rPr>
          <w:rStyle w:val="25"/>
          <w:rFonts w:ascii="Times New Roman" w:hAnsi="Times New Roman" w:eastAsia="宋体"/>
        </w:rPr>
        <w:t>https://www.creditchina.gov.cn/</w:t>
      </w:r>
      <w:r>
        <w:rPr>
          <w:rStyle w:val="25"/>
          <w:rFonts w:ascii="Times New Roman" w:hAnsi="Times New Roman" w:eastAsia="宋体"/>
        </w:rPr>
        <w:fldChar w:fldCharType="end"/>
      </w:r>
      <w:r>
        <w:rPr>
          <w:rFonts w:hint="eastAsia" w:ascii="Times New Roman" w:hAnsi="Times New Roman" w:eastAsia="宋体"/>
          <w:color w:val="auto"/>
        </w:rPr>
        <w:t>）、中国政府采购网（</w:t>
      </w:r>
      <w:r>
        <w:fldChar w:fldCharType="begin"/>
      </w:r>
      <w:r>
        <w:instrText xml:space="preserve"> HYPERLINK "http://www.ccgp.gov.cn/" </w:instrText>
      </w:r>
      <w:r>
        <w:fldChar w:fldCharType="separate"/>
      </w:r>
      <w:r>
        <w:rPr>
          <w:rStyle w:val="25"/>
          <w:rFonts w:hint="eastAsia" w:ascii="Times New Roman" w:hAnsi="Times New Roman" w:eastAsia="宋体"/>
        </w:rPr>
        <w:t>www.ccgp.gov.cn</w:t>
      </w:r>
      <w:r>
        <w:rPr>
          <w:rStyle w:val="25"/>
          <w:rFonts w:hint="eastAsia" w:ascii="Times New Roman" w:hAnsi="Times New Roman" w:eastAsia="宋体"/>
        </w:rPr>
        <w:fldChar w:fldCharType="end"/>
      </w:r>
      <w:r>
        <w:rPr>
          <w:rFonts w:hint="eastAsia" w:ascii="Times New Roman" w:hAnsi="Times New Roman" w:eastAsia="宋体"/>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pStyle w:val="31"/>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五）参与政府采购活动的中小微企业，在获取政府采购中标（成交）通知书后，可向本市相关金融机构申请“政采贷”融资支持。有融资需求的企业，请于正式签订政府采购合同之前，向相关金融机构联系咨询。</w:t>
      </w:r>
    </w:p>
    <w:p>
      <w:pPr>
        <w:pStyle w:val="31"/>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注：金融机构相关信息请登录天津市政府采购网政采贷板块（网址：</w:t>
      </w:r>
      <w:r>
        <w:fldChar w:fldCharType="begin"/>
      </w:r>
      <w:r>
        <w:instrText xml:space="preserve"> HYPERLINK "http://tjgp.cz.tj.gov.cn/zcd/zcdList.jsp" </w:instrText>
      </w:r>
      <w:r>
        <w:fldChar w:fldCharType="separate"/>
      </w:r>
      <w:r>
        <w:rPr>
          <w:rStyle w:val="25"/>
          <w:rFonts w:hint="eastAsia" w:ascii="Times New Roman" w:hAnsi="Times New Roman" w:eastAsia="宋体"/>
        </w:rPr>
        <w:t>http://tjgp.cz.tj.gov.cn/zcd/zcdList.jsp</w:t>
      </w:r>
      <w:r>
        <w:rPr>
          <w:rStyle w:val="25"/>
          <w:rFonts w:hint="eastAsia" w:ascii="Times New Roman" w:hAnsi="Times New Roman" w:eastAsia="宋体"/>
        </w:rPr>
        <w:fldChar w:fldCharType="end"/>
      </w:r>
      <w:r>
        <w:rPr>
          <w:rFonts w:hint="eastAsia" w:ascii="Times New Roman" w:hAnsi="Times New Roman" w:eastAsia="宋体"/>
          <w:color w:val="auto"/>
        </w:rPr>
        <w:t>）了解。</w:t>
      </w:r>
    </w:p>
    <w:bookmarkEnd w:id="2"/>
    <w:bookmarkEnd w:id="3"/>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w:t>
      </w:r>
      <w:r>
        <w:rPr>
          <w:rFonts w:ascii="Times New Roman" w:hAnsi="Times New Roman" w:eastAsia="宋体" w:cs="Times New Roman"/>
          <w:color w:val="auto"/>
        </w:rPr>
        <w:t>、获取竞争性磋商文件时间、方式</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（一）获取竞争性磋商文件的时间：</w:t>
      </w:r>
      <w:r>
        <w:rPr>
          <w:rFonts w:ascii="Times New Roman" w:hAnsi="Times New Roman" w:eastAsia="宋体"/>
          <w:color w:val="auto"/>
        </w:rPr>
        <w:t>2024</w:t>
      </w:r>
      <w:r>
        <w:rPr>
          <w:rFonts w:hint="eastAsia" w:ascii="Times New Roman" w:eastAsia="宋体"/>
          <w:color w:val="auto"/>
        </w:rPr>
        <w:t>年</w:t>
      </w:r>
      <w:r>
        <w:rPr>
          <w:rFonts w:hint="eastAsia" w:ascii="Times New Roman" w:eastAsia="宋体"/>
          <w:color w:val="auto"/>
          <w:lang w:val="en-US" w:eastAsia="zh-CN"/>
        </w:rPr>
        <w:t>4</w:t>
      </w:r>
      <w:r>
        <w:rPr>
          <w:rFonts w:hint="eastAsia" w:ascii="Times New Roman" w:eastAsia="宋体"/>
          <w:color w:val="auto"/>
        </w:rPr>
        <w:t>月</w:t>
      </w:r>
      <w:r>
        <w:rPr>
          <w:rFonts w:hint="eastAsia" w:ascii="Times New Roman" w:eastAsia="宋体"/>
          <w:color w:val="auto"/>
          <w:lang w:val="en-US" w:eastAsia="zh-CN"/>
        </w:rPr>
        <w:t>17</w:t>
      </w:r>
      <w:r>
        <w:rPr>
          <w:rFonts w:hint="eastAsia" w:ascii="Times New Roman" w:eastAsia="宋体"/>
          <w:color w:val="auto"/>
        </w:rPr>
        <w:t>日至</w:t>
      </w:r>
      <w:r>
        <w:rPr>
          <w:rFonts w:ascii="Times New Roman" w:hAnsi="Times New Roman" w:eastAsia="宋体"/>
          <w:color w:val="auto"/>
        </w:rPr>
        <w:t>2024</w:t>
      </w:r>
      <w:r>
        <w:rPr>
          <w:rFonts w:hint="eastAsia" w:ascii="Times New Roman" w:eastAsia="宋体"/>
          <w:color w:val="auto"/>
        </w:rPr>
        <w:t>年</w:t>
      </w:r>
      <w:r>
        <w:rPr>
          <w:rFonts w:hint="eastAsia" w:ascii="Times New Roman" w:eastAsia="宋体"/>
          <w:color w:val="auto"/>
          <w:lang w:val="en-US" w:eastAsia="zh-CN"/>
        </w:rPr>
        <w:t>4</w:t>
      </w:r>
      <w:r>
        <w:rPr>
          <w:rFonts w:hint="eastAsia" w:ascii="Times New Roman" w:eastAsia="宋体"/>
          <w:color w:val="auto"/>
        </w:rPr>
        <w:t>月</w:t>
      </w:r>
      <w:r>
        <w:rPr>
          <w:rFonts w:hint="eastAsia" w:ascii="Times New Roman" w:eastAsia="宋体"/>
          <w:color w:val="auto"/>
          <w:lang w:val="en-US" w:eastAsia="zh-CN"/>
        </w:rPr>
        <w:t>24</w:t>
      </w:r>
      <w:r>
        <w:rPr>
          <w:rFonts w:hint="eastAsia" w:ascii="Times New Roman" w:eastAsia="宋体"/>
          <w:color w:val="auto"/>
        </w:rPr>
        <w:t>日，每日</w:t>
      </w:r>
      <w:r>
        <w:rPr>
          <w:rFonts w:ascii="Times New Roman" w:hAnsi="Times New Roman" w:eastAsia="宋体"/>
          <w:color w:val="auto"/>
        </w:rPr>
        <w:t>9:00</w:t>
      </w:r>
      <w:r>
        <w:rPr>
          <w:rFonts w:hint="eastAsia" w:ascii="Times New Roman" w:eastAsia="宋体"/>
          <w:color w:val="auto"/>
        </w:rPr>
        <w:t>至</w:t>
      </w:r>
      <w:r>
        <w:rPr>
          <w:rFonts w:ascii="Times New Roman" w:hAnsi="Times New Roman" w:eastAsia="宋体"/>
          <w:color w:val="auto"/>
        </w:rPr>
        <w:t>17:00</w:t>
      </w:r>
      <w:r>
        <w:rPr>
          <w:rFonts w:hint="eastAsia" w:ascii="Times New Roman" w:eastAsia="宋体"/>
          <w:color w:val="auto"/>
        </w:rPr>
        <w:t>（北京时间，法定节假日除外）。</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（二）获取竞争性磋商文件的方式：</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1.获取竞争性磋商文件网址：使用</w:t>
      </w:r>
      <w:r>
        <w:rPr>
          <w:rFonts w:hint="eastAsia" w:ascii="Times New Roman" w:hAnsi="Times New Roman" w:eastAsia="宋体" w:cs="Times New Roman"/>
          <w:color w:val="auto"/>
        </w:rPr>
        <w:t>天津市中环认证服务有限公司发出的CA数字证书（原天津市电子认证中心发出尚在有效期内的CA数字证书仍可使用）</w:t>
      </w:r>
      <w:r>
        <w:rPr>
          <w:rFonts w:ascii="Times New Roman" w:hAnsi="Times New Roman" w:eastAsia="宋体" w:cs="Times New Roman"/>
          <w:color w:val="auto"/>
        </w:rPr>
        <w:t>登录天津市政府采购中心网（网址：http://tjgpc.zwfwb.tj.gov.cn/</w:t>
      </w:r>
      <w:r>
        <w:rPr>
          <w:rFonts w:hint="eastAsia" w:ascii="Times New Roman" w:hAnsi="Times New Roman" w:eastAsia="宋体" w:cs="Times New Roman"/>
          <w:color w:val="auto"/>
        </w:rPr>
        <w:t>）-“网上招投标”-“供应商登录”-“区级集采机构入口”</w:t>
      </w:r>
      <w:r>
        <w:rPr>
          <w:rFonts w:ascii="Times New Roman" w:hAnsi="Times New Roman" w:eastAsia="宋体" w:cs="Times New Roman"/>
          <w:color w:val="auto"/>
        </w:rPr>
        <w:t>下载竞争性磋商文件。</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供应商注册、</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w:t>
      </w:r>
      <w:r>
        <w:rPr>
          <w:rFonts w:hint="eastAsia" w:ascii="Times New Roman" w:hAnsi="Times New Roman" w:eastAsia="宋体"/>
          <w:color w:val="auto"/>
        </w:rPr>
        <w:t>电子签章办理</w:t>
      </w:r>
      <w:r>
        <w:rPr>
          <w:rFonts w:hint="eastAsia" w:ascii="Times New Roman" w:hAnsi="Times New Roman" w:eastAsia="宋体" w:cs="Times New Roman"/>
          <w:color w:val="auto"/>
        </w:rPr>
        <w:t>办法：</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（1）天津市政府采购中心网注册：登录天津市政府采购中心网（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）首页点击“供应商注册”，填写相关内容。天津市政府采购中心</w:t>
      </w:r>
      <w:r>
        <w:rPr>
          <w:rFonts w:hint="eastAsia" w:ascii="Times New Roman" w:hAnsi="Times New Roman" w:eastAsia="宋体"/>
          <w:color w:val="auto"/>
        </w:rPr>
        <w:t>注册窗口联系电话：</w:t>
      </w:r>
      <w:r>
        <w:rPr>
          <w:rFonts w:ascii="Times New Roman" w:hAnsi="Times New Roman" w:eastAsia="宋体"/>
          <w:color w:val="auto"/>
        </w:rPr>
        <w:t>022-</w:t>
      </w:r>
      <w:r>
        <w:rPr>
          <w:rFonts w:hint="eastAsia" w:ascii="Times New Roman" w:hAnsi="Times New Roman" w:eastAsia="宋体" w:cs="Times New Roman"/>
          <w:color w:val="auto"/>
        </w:rPr>
        <w:t>24538316</w:t>
      </w:r>
      <w:r>
        <w:rPr>
          <w:rFonts w:hint="eastAsia" w:ascii="Times New Roman" w:hAnsi="Times New Roman" w:eastAsia="宋体"/>
          <w:color w:val="auto"/>
        </w:rPr>
        <w:t>。</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（2）CA数字证书（USBKey）领取及</w:t>
      </w:r>
      <w:r>
        <w:rPr>
          <w:rFonts w:hint="eastAsia" w:ascii="Times New Roman" w:hAnsi="Times New Roman" w:eastAsia="宋体"/>
          <w:color w:val="auto"/>
        </w:rPr>
        <w:t>电子签章办理</w:t>
      </w:r>
      <w:r>
        <w:rPr>
          <w:rFonts w:hint="eastAsia" w:ascii="Times New Roman" w:hAnsi="Times New Roman" w:eastAsia="宋体" w:cs="Times New Roman"/>
          <w:color w:val="auto"/>
        </w:rPr>
        <w:t>：参见天津市政府采购中心网（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）--服务指南--供应商注册、领取CA数字证书（USBKey）及电子签章制章的流程。</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CA数字证书办理联系电话：400-0566-110或022-24538059。</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电子签章办理联系电话：022-24538316。</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七</w:t>
      </w:r>
      <w:r>
        <w:rPr>
          <w:rFonts w:ascii="Times New Roman" w:hAnsi="Times New Roman" w:eastAsia="宋体" w:cs="Times New Roman"/>
          <w:color w:val="auto"/>
        </w:rPr>
        <w:t>、网上应答时间</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2024年</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17</w:t>
      </w:r>
      <w:r>
        <w:rPr>
          <w:rFonts w:hint="eastAsia" w:ascii="Times New Roman" w:hAnsi="Times New Roman" w:eastAsia="宋体" w:cs="Times New Roman"/>
          <w:color w:val="auto"/>
        </w:rPr>
        <w:t>日9:00至2024年</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29</w:t>
      </w:r>
      <w:r>
        <w:rPr>
          <w:rFonts w:hint="eastAsia" w:ascii="Times New Roman" w:hAnsi="Times New Roman" w:eastAsia="宋体" w:cs="Times New Roman"/>
          <w:color w:val="auto"/>
        </w:rPr>
        <w:t>日8:30，使用天津市中环认证服务有限公司发出的CA数字证书（原天津市电子认证中心发出尚在有效期内的CA数字证书仍可使用）登陆天津市政府采购中心网（网址：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）-“网上招投标”-“供应商登录”-“区级集采机构入口”</w:t>
      </w:r>
      <w:r>
        <w:rPr>
          <w:rFonts w:ascii="Times New Roman" w:hAnsi="Times New Roman" w:eastAsia="宋体" w:cs="Times New Roman"/>
          <w:color w:val="auto"/>
        </w:rPr>
        <w:t>进行应答</w:t>
      </w:r>
      <w:r>
        <w:rPr>
          <w:rFonts w:hint="eastAsia" w:ascii="Times New Roman" w:hAnsi="Times New Roman" w:eastAsia="宋体" w:cs="Times New Roman"/>
          <w:color w:val="auto"/>
        </w:rPr>
        <w:t>并提交</w:t>
      </w:r>
      <w:r>
        <w:rPr>
          <w:rFonts w:ascii="Times New Roman" w:hAnsi="Times New Roman" w:eastAsia="宋体" w:cs="Times New Roman"/>
          <w:color w:val="auto"/>
        </w:rPr>
        <w:t>。</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网上应答帮助链接：http://tjgpc.zwfwb.tj.gov.cn/webInfo/getWebInfoListForwebInfoClass.do?fkWebInfoclassId=W008</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八、提交电子响应文件截止时间及方式</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（一）提交电子响应文件截止时间：2024年</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29</w:t>
      </w:r>
      <w:r>
        <w:rPr>
          <w:rFonts w:hint="eastAsia" w:ascii="Times New Roman" w:hAnsi="Times New Roman" w:eastAsia="宋体" w:cs="Times New Roman"/>
          <w:color w:val="auto"/>
        </w:rPr>
        <w:t>日8:30。提交电子响应文件截止时间前提交网上应答并分别上传加盖电子签章的第一、第二阶段电子响应文件（以通过天津公共资源电子签章客户端正确读取签章信息为准）方为有效响应。</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（二）提交电子响应文件方式：本项目采用网上电子投标方式，投标人须于上述规定的时间使用天津市中环认证服务有限公司发出的CA数字证书（原天津市电子认证中心发出尚在有效期内的CA数字证书仍可使用）</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）-“网上招投标”-“供应商登录”-“区级集采机构入口”提交网上应答和分别上传加盖电子签章的第一、第二阶段电子响应文件（以通过天津公共资源电子签章客户端正确读取签章信息为准）。</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九、解密时间、方式</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（一）第一阶段解密时间：2024年</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月</w:t>
      </w:r>
      <w:r>
        <w:rPr>
          <w:rFonts w:hint="eastAsia" w:ascii="Times New Roman" w:hAnsi="Times New Roman" w:eastAsia="宋体" w:cs="Times New Roman"/>
          <w:color w:val="auto"/>
          <w:lang w:val="en-US" w:eastAsia="zh-CN"/>
        </w:rPr>
        <w:t>29</w:t>
      </w:r>
      <w:r>
        <w:rPr>
          <w:rFonts w:hint="eastAsia" w:ascii="Times New Roman" w:hAnsi="Times New Roman" w:eastAsia="宋体" w:cs="Times New Roman"/>
          <w:color w:val="auto"/>
        </w:rPr>
        <w:t>日8:30至9:30完成第一阶段解密的方为有效响应。</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（二）第二阶段解密时间：通过第一阶段磋商的供应商在磋商小组要求的时间内（一般是磋商当日）完成第二阶段解密，否则视为放弃磋商。</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（三）解密方式：供应商</w:t>
      </w:r>
      <w:r>
        <w:rPr>
          <w:rFonts w:ascii="Times New Roman" w:hAnsi="Times New Roman" w:eastAsia="宋体" w:cs="Times New Roman"/>
          <w:color w:val="auto"/>
        </w:rPr>
        <w:t>须于</w:t>
      </w:r>
      <w:r>
        <w:rPr>
          <w:rFonts w:hint="eastAsia" w:ascii="Times New Roman" w:hAnsi="Times New Roman" w:eastAsia="宋体" w:cs="Times New Roman"/>
          <w:color w:val="auto"/>
        </w:rPr>
        <w:t>上述规定时间</w:t>
      </w:r>
      <w:r>
        <w:rPr>
          <w:rFonts w:ascii="Times New Roman" w:hAnsi="Times New Roman" w:eastAsia="宋体" w:cs="Times New Roman"/>
          <w:color w:val="auto"/>
        </w:rPr>
        <w:t>内使用天津市中环认证服务有限公司发出的CA数字证书（原天津市电子认证中心发出尚在有效期内的CA数字证书仍可使用）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）-“网上招投标”-“供应商登录”</w:t>
      </w:r>
      <w:r>
        <w:rPr>
          <w:rFonts w:ascii="Times New Roman" w:hAnsi="Times New Roman" w:eastAsia="宋体" w:cs="Times New Roman"/>
          <w:color w:val="auto"/>
        </w:rPr>
        <w:t>完成解密。</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十</w:t>
      </w:r>
      <w:r>
        <w:rPr>
          <w:rFonts w:ascii="Times New Roman" w:hAnsi="Times New Roman" w:eastAsia="宋体" w:cs="Times New Roman"/>
          <w:color w:val="auto"/>
        </w:rPr>
        <w:t>、</w:t>
      </w:r>
      <w:r>
        <w:rPr>
          <w:rFonts w:hint="eastAsia" w:ascii="Times New Roman" w:hAnsi="Times New Roman" w:eastAsia="宋体" w:cs="Times New Roman"/>
          <w:color w:val="auto"/>
        </w:rPr>
        <w:t>采购代理机构名称、地址、联系人及联系方式</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（一）采购代理机构名称：天津市滨海新区政府采购中心</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（二）采购代理机构地址：天津市滨海新区塘沽营口道468号</w:t>
      </w:r>
    </w:p>
    <w:p>
      <w:pPr>
        <w:pStyle w:val="31"/>
        <w:spacing w:line="360" w:lineRule="auto"/>
        <w:ind w:firstLine="448" w:firstLineChars="200"/>
        <w:jc w:val="both"/>
        <w:rPr>
          <w:rFonts w:hint="eastAsia" w:ascii="Times New Roman" w:hAnsi="Times New Roman" w:eastAsia="宋体" w:cs="Times New Roman"/>
          <w:color w:val="auto"/>
          <w:lang w:eastAsia="zh-CN"/>
        </w:rPr>
      </w:pPr>
      <w:r>
        <w:rPr>
          <w:rFonts w:ascii="Times New Roman" w:hAnsi="Times New Roman" w:eastAsia="宋体" w:cs="Times New Roman"/>
          <w:color w:val="auto"/>
        </w:rPr>
        <w:t>（</w:t>
      </w:r>
      <w:r>
        <w:rPr>
          <w:rFonts w:hint="eastAsia" w:ascii="Times New Roman" w:hAnsi="Times New Roman" w:eastAsia="宋体" w:cs="Times New Roman"/>
          <w:color w:val="auto"/>
        </w:rPr>
        <w:t>三</w:t>
      </w:r>
      <w:r>
        <w:rPr>
          <w:rFonts w:ascii="Times New Roman" w:hAnsi="Times New Roman" w:eastAsia="宋体" w:cs="Times New Roman"/>
          <w:color w:val="auto"/>
        </w:rPr>
        <w:t>）联系人：</w:t>
      </w:r>
      <w:r>
        <w:rPr>
          <w:rFonts w:hint="eastAsia" w:ascii="Times New Roman" w:hAnsi="Times New Roman" w:eastAsia="宋体" w:cs="Times New Roman"/>
          <w:color w:val="auto"/>
          <w:lang w:eastAsia="zh-CN"/>
        </w:rPr>
        <w:t>夏冰</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（四）网址：</w:t>
      </w:r>
      <w:r>
        <w:fldChar w:fldCharType="begin"/>
      </w:r>
      <w:r>
        <w:instrText xml:space="preserve"> HYPERLINK "http://tjgpc.cz.tj.gov.cn/" </w:instrText>
      </w:r>
      <w:r>
        <w:fldChar w:fldCharType="separate"/>
      </w:r>
      <w:r>
        <w:rPr>
          <w:rStyle w:val="25"/>
          <w:rFonts w:ascii="Times New Roman" w:hAnsi="Times New Roman" w:eastAsia="宋体" w:cs="Times New Roman"/>
        </w:rPr>
        <w:t>http://tjgpc.zwfwb.tj.gov.cn/</w:t>
      </w:r>
      <w:r>
        <w:rPr>
          <w:rStyle w:val="25"/>
          <w:rFonts w:ascii="Times New Roman" w:hAnsi="Times New Roman" w:eastAsia="宋体" w:cs="Times New Roman"/>
        </w:rPr>
        <w:fldChar w:fldCharType="end"/>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w:t>
      </w:r>
      <w:r>
        <w:rPr>
          <w:rFonts w:ascii="Times New Roman" w:hAnsi="Times New Roman" w:eastAsia="宋体" w:cs="Times New Roman"/>
          <w:color w:val="auto"/>
        </w:rPr>
        <w:t>对外办公时间：</w:t>
      </w:r>
      <w:r>
        <w:rPr>
          <w:rFonts w:hint="eastAsia" w:ascii="Times New Roman" w:hAnsi="Times New Roman" w:eastAsia="宋体" w:cs="Times New Roman"/>
          <w:color w:val="auto"/>
        </w:rPr>
        <w:t>法定</w:t>
      </w:r>
      <w:r>
        <w:rPr>
          <w:rFonts w:ascii="Times New Roman" w:hAnsi="Times New Roman" w:eastAsia="宋体" w:cs="Times New Roman"/>
          <w:color w:val="auto"/>
        </w:rPr>
        <w:t>工作日9:00～12:00，14:00～1</w:t>
      </w:r>
      <w:r>
        <w:rPr>
          <w:rFonts w:hint="eastAsia" w:ascii="Times New Roman" w:hAnsi="Times New Roman" w:eastAsia="宋体" w:cs="Times New Roman"/>
          <w:color w:val="auto"/>
        </w:rPr>
        <w:t>7</w:t>
      </w:r>
      <w:r>
        <w:rPr>
          <w:rFonts w:ascii="Times New Roman" w:hAnsi="Times New Roman" w:eastAsia="宋体" w:cs="Times New Roman"/>
          <w:color w:val="auto"/>
        </w:rPr>
        <w:t>:00</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（六）咨询服务电话</w:t>
      </w:r>
      <w:r>
        <w:rPr>
          <w:rFonts w:ascii="Times New Roman" w:hAnsi="Times New Roman" w:eastAsia="宋体" w:cs="Times New Roman"/>
          <w:color w:val="auto"/>
        </w:rPr>
        <w:t>：</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 供应商注册、电子签章办理咨询：022-24538316</w:t>
      </w:r>
    </w:p>
    <w:p>
      <w:pPr>
        <w:pStyle w:val="31"/>
        <w:spacing w:line="360" w:lineRule="auto"/>
        <w:ind w:firstLine="448" w:firstLineChars="200"/>
        <w:jc w:val="both"/>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2. 采购文件咨询：</w:t>
      </w:r>
      <w:r>
        <w:rPr>
          <w:rFonts w:ascii="Times New Roman" w:hAnsi="Times New Roman" w:eastAsia="宋体" w:cs="Times New Roman"/>
          <w:color w:val="auto"/>
        </w:rPr>
        <w:t>022-</w:t>
      </w:r>
      <w:r>
        <w:rPr>
          <w:rFonts w:hint="eastAsia" w:ascii="Times New Roman" w:hAnsi="Times New Roman" w:eastAsia="宋体" w:cs="Times New Roman"/>
          <w:color w:val="auto"/>
        </w:rPr>
        <w:t>2586610</w:t>
      </w:r>
      <w:r>
        <w:rPr>
          <w:rFonts w:hint="eastAsia" w:ascii="Times New Roman" w:hAnsi="Times New Roman" w:eastAsia="宋体" w:cs="Times New Roman"/>
          <w:color w:val="auto"/>
          <w:lang w:val="en-US" w:eastAsia="zh-CN"/>
        </w:rPr>
        <w:t>7</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3. </w:t>
      </w:r>
      <w:r>
        <w:rPr>
          <w:rFonts w:hint="eastAsia" w:ascii="Times New Roman" w:hAnsi="Times New Roman" w:eastAsia="宋体" w:cs="Times New Roman"/>
          <w:color w:val="auto"/>
        </w:rPr>
        <w:t>网上应答操作咨询：</w:t>
      </w:r>
      <w:r>
        <w:rPr>
          <w:rFonts w:ascii="Times New Roman" w:hAnsi="Times New Roman" w:eastAsia="宋体" w:cs="Times New Roman"/>
          <w:color w:val="auto"/>
        </w:rPr>
        <w:t>022-2453</w:t>
      </w:r>
      <w:r>
        <w:rPr>
          <w:rFonts w:hint="eastAsia" w:ascii="Times New Roman" w:hAnsi="Times New Roman" w:eastAsia="宋体" w:cs="Times New Roman"/>
          <w:color w:val="auto"/>
        </w:rPr>
        <w:t>8309</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4. </w:t>
      </w:r>
      <w:r>
        <w:rPr>
          <w:rFonts w:hint="eastAsia" w:ascii="Times New Roman" w:hAnsi="Times New Roman" w:eastAsia="宋体" w:cs="Times New Roman"/>
          <w:color w:val="auto"/>
        </w:rPr>
        <w:t>解密操作咨询：</w:t>
      </w:r>
      <w:r>
        <w:rPr>
          <w:rFonts w:ascii="Times New Roman" w:hAnsi="Times New Roman" w:eastAsia="宋体" w:cs="Times New Roman"/>
          <w:color w:val="auto"/>
        </w:rPr>
        <w:t>022-24538309</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（七）邮箱：bhzfzcb@tj.gov.cn</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一</w:t>
      </w:r>
      <w:r>
        <w:rPr>
          <w:rFonts w:ascii="Times New Roman" w:hAnsi="Times New Roman" w:eastAsia="宋体" w:cs="Times New Roman"/>
          <w:color w:val="auto"/>
        </w:rPr>
        <w:t>、采购人的名称、地址和联系方式</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（一）采购人名称</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rPr>
        <w:t xml:space="preserve">天津市滨海新区公安局 </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（二）采购人地址：</w:t>
      </w:r>
      <w:r>
        <w:rPr>
          <w:rFonts w:hint="eastAsia" w:ascii="Times New Roman" w:hAnsi="Times New Roman" w:eastAsia="宋体" w:cs="Times New Roman"/>
          <w:color w:val="auto"/>
        </w:rPr>
        <w:t>天津市滨海新区营口道734号</w:t>
      </w:r>
    </w:p>
    <w:p>
      <w:pPr>
        <w:pStyle w:val="31"/>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（三）采购人联系人：</w:t>
      </w:r>
      <w:r>
        <w:rPr>
          <w:rFonts w:hint="eastAsia" w:ascii="Times New Roman" w:hAnsi="Times New Roman" w:eastAsia="宋体" w:cs="Times New Roman"/>
          <w:color w:val="auto"/>
        </w:rPr>
        <w:t xml:space="preserve">高用明 </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（四）采购人联系电话：</w:t>
      </w:r>
      <w:r>
        <w:rPr>
          <w:rFonts w:hint="eastAsia" w:ascii="Times New Roman" w:hAnsi="Times New Roman" w:eastAsia="宋体" w:cs="Times New Roman"/>
          <w:color w:val="auto"/>
        </w:rPr>
        <w:t xml:space="preserve">022-66977165 </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二</w:t>
      </w:r>
      <w:r>
        <w:rPr>
          <w:rFonts w:ascii="Times New Roman" w:hAnsi="Times New Roman" w:eastAsia="宋体" w:cs="Times New Roman"/>
          <w:color w:val="auto"/>
        </w:rPr>
        <w:t>、质疑方式</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采购人针对采购文件质疑受理：</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 xml:space="preserve">1.联系部门：警务保障部 </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2.联系人：高用明</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3.联系方式：022-66977165</w:t>
      </w:r>
    </w:p>
    <w:p>
      <w:pPr>
        <w:pStyle w:val="31"/>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4.联系地址：天津市滨海新区营口道734号</w:t>
      </w:r>
    </w:p>
    <w:p>
      <w:pPr>
        <w:pStyle w:val="31"/>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（二）供应商对质疑答复不满意的，或者采购人、天津市滨海新区政府采购中心未在规定期限内作出答复的，供应商可以在质疑答复期满后15个工作日内，向</w:t>
      </w:r>
      <w:r>
        <w:rPr>
          <w:rFonts w:ascii="Times New Roman" w:hAnsi="Times New Roman" w:eastAsia="宋体" w:cs="Times New Roman"/>
          <w:color w:val="auto"/>
        </w:rPr>
        <w:t>天津市</w:t>
      </w:r>
      <w:r>
        <w:rPr>
          <w:rFonts w:hint="eastAsia" w:ascii="Times New Roman" w:hAnsi="Times New Roman" w:eastAsia="宋体" w:cs="Times New Roman"/>
          <w:color w:val="auto"/>
        </w:rPr>
        <w:t>滨海新区</w:t>
      </w:r>
      <w:r>
        <w:rPr>
          <w:rFonts w:ascii="Times New Roman" w:hAnsi="Times New Roman" w:eastAsia="宋体" w:cs="Times New Roman"/>
          <w:color w:val="auto"/>
        </w:rPr>
        <w:t>财政局</w:t>
      </w:r>
      <w:r>
        <w:rPr>
          <w:rFonts w:hint="eastAsia" w:ascii="Times New Roman" w:hAnsi="Times New Roman" w:eastAsia="宋体" w:cs="Times New Roman"/>
          <w:color w:val="auto"/>
        </w:rPr>
        <w:t>政府采购办公室提出投诉，逾期不予受理。</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三</w:t>
      </w:r>
      <w:r>
        <w:rPr>
          <w:rFonts w:ascii="Times New Roman" w:hAnsi="Times New Roman" w:eastAsia="宋体" w:cs="Times New Roman"/>
          <w:color w:val="auto"/>
        </w:rPr>
        <w:t>、公告期限</w:t>
      </w:r>
    </w:p>
    <w:p>
      <w:pPr>
        <w:pStyle w:val="31"/>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招标公告的公告期限为5个工作日。</w:t>
      </w:r>
    </w:p>
    <w:p>
      <w:pPr>
        <w:pStyle w:val="31"/>
        <w:spacing w:line="360" w:lineRule="auto"/>
        <w:ind w:firstLine="6720" w:firstLineChars="3000"/>
        <w:jc w:val="both"/>
        <w:rPr>
          <w:rFonts w:ascii="Times New Roman" w:hAnsi="Times New Roman" w:eastAsia="宋体"/>
          <w:b/>
          <w:bCs/>
          <w:color w:val="FF0000"/>
          <w:kern w:val="28"/>
          <w:sz w:val="32"/>
          <w:szCs w:val="32"/>
        </w:rPr>
      </w:pPr>
      <w:r>
        <w:rPr>
          <w:rFonts w:ascii="Times New Roman" w:hAnsi="Times New Roman" w:eastAsia="宋体" w:cs="Times New Roman"/>
          <w:color w:val="auto"/>
        </w:rPr>
        <w:t>2024年</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17</w:t>
      </w:r>
      <w:r>
        <w:rPr>
          <w:rFonts w:ascii="Times New Roman" w:hAnsi="Times New Roman" w:eastAsia="宋体" w:cs="Times New Roman"/>
          <w:color w:val="auto"/>
        </w:rPr>
        <w:t>日</w:t>
      </w:r>
      <w:r>
        <w:rPr>
          <w:rFonts w:ascii="Times New Roman" w:hAnsi="Times New Roman" w:eastAsia="宋体"/>
          <w:color w:val="FF0000"/>
        </w:rPr>
        <w:br w:type="page"/>
      </w:r>
    </w:p>
    <w:bookmarkEnd w:id="1"/>
    <w:p>
      <w:pPr>
        <w:pStyle w:val="14"/>
        <w:rPr>
          <w:rFonts w:ascii="Times New Roman" w:hAnsi="Times New Roman"/>
        </w:rPr>
      </w:pPr>
      <w:r>
        <w:rPr>
          <w:rFonts w:ascii="Times New Roman" w:hAnsi="Times New Roman"/>
        </w:rPr>
        <w:t>第二部分磋商项目要求</w:t>
      </w:r>
    </w:p>
    <w:p>
      <w:pPr>
        <w:tabs>
          <w:tab w:val="left" w:pos="210"/>
        </w:tabs>
        <w:autoSpaceDE w:val="0"/>
        <w:autoSpaceDN w:val="0"/>
        <w:adjustRightInd w:val="0"/>
        <w:spacing w:line="360" w:lineRule="auto"/>
        <w:ind w:firstLine="448" w:firstLineChars="200"/>
        <w:outlineLvl w:val="0"/>
        <w:rPr>
          <w:sz w:val="24"/>
          <w:szCs w:val="24"/>
        </w:rPr>
      </w:pPr>
      <w:r>
        <w:rPr>
          <w:sz w:val="24"/>
          <w:szCs w:val="24"/>
        </w:rPr>
        <w:t>一、商务要求</w:t>
      </w:r>
    </w:p>
    <w:p>
      <w:pPr>
        <w:autoSpaceDE w:val="0"/>
        <w:autoSpaceDN w:val="0"/>
        <w:adjustRightInd w:val="0"/>
        <w:spacing w:line="360" w:lineRule="auto"/>
        <w:ind w:firstLine="448" w:firstLineChars="200"/>
        <w:rPr>
          <w:sz w:val="24"/>
        </w:rPr>
      </w:pPr>
      <w:r>
        <w:rPr>
          <w:kern w:val="0"/>
          <w:sz w:val="24"/>
          <w:szCs w:val="24"/>
        </w:rPr>
        <w:t>（一）</w:t>
      </w:r>
      <w:r>
        <w:rPr>
          <w:sz w:val="24"/>
        </w:rPr>
        <w:t>报价要求</w:t>
      </w:r>
    </w:p>
    <w:p>
      <w:pPr>
        <w:autoSpaceDE w:val="0"/>
        <w:autoSpaceDN w:val="0"/>
        <w:adjustRightInd w:val="0"/>
        <w:spacing w:line="360" w:lineRule="auto"/>
        <w:ind w:firstLine="448" w:firstLineChars="200"/>
        <w:rPr>
          <w:sz w:val="24"/>
        </w:rPr>
      </w:pPr>
      <w:r>
        <w:rPr>
          <w:sz w:val="24"/>
        </w:rPr>
        <w:t>1. 投标报价以人民币填列。</w:t>
      </w:r>
    </w:p>
    <w:p>
      <w:pPr>
        <w:spacing w:line="360" w:lineRule="auto"/>
        <w:ind w:firstLine="448" w:firstLineChars="200"/>
        <w:rPr>
          <w:sz w:val="24"/>
        </w:rPr>
      </w:pPr>
      <w:r>
        <w:rPr>
          <w:sz w:val="24"/>
        </w:rPr>
        <w:t>2. 投标人的报价应包括：</w:t>
      </w:r>
    </w:p>
    <w:p>
      <w:pPr>
        <w:spacing w:line="360" w:lineRule="auto"/>
        <w:ind w:firstLine="448" w:firstLineChars="200"/>
        <w:rPr>
          <w:color w:val="auto"/>
          <w:sz w:val="24"/>
        </w:rPr>
      </w:pPr>
      <w:r>
        <w:rPr>
          <w:rFonts w:hint="eastAsia"/>
          <w:color w:val="auto"/>
          <w:sz w:val="24"/>
        </w:rPr>
        <w:t>A. 机动车交通事故责任强制保险保险费</w:t>
      </w:r>
    </w:p>
    <w:p>
      <w:pPr>
        <w:autoSpaceDE w:val="0"/>
        <w:autoSpaceDN w:val="0"/>
        <w:adjustRightInd w:val="0"/>
        <w:spacing w:line="360" w:lineRule="auto"/>
        <w:ind w:firstLine="448" w:firstLineChars="200"/>
        <w:rPr>
          <w:rFonts w:hint="eastAsia"/>
          <w:color w:val="auto"/>
          <w:sz w:val="24"/>
        </w:rPr>
      </w:pPr>
      <w:r>
        <w:rPr>
          <w:rFonts w:hint="eastAsia"/>
          <w:color w:val="auto"/>
          <w:sz w:val="24"/>
        </w:rPr>
        <w:t>B. 机动车商业保险：第三者责任保险（责任限额人民币 200 万元）、机动车损失保险、车上人员责任保险（司机责任限额人民币 5 万元）、车上人员责任保险（乘客每人责任限额人民币 5 万元）、上述机动车商业险不计免赔率附加险保险等。</w:t>
      </w:r>
    </w:p>
    <w:p>
      <w:pPr>
        <w:autoSpaceDE w:val="0"/>
        <w:autoSpaceDN w:val="0"/>
        <w:adjustRightInd w:val="0"/>
        <w:spacing w:line="360" w:lineRule="auto"/>
        <w:ind w:firstLine="448" w:firstLineChars="200"/>
        <w:rPr>
          <w:color w:val="auto"/>
          <w:sz w:val="24"/>
        </w:rPr>
      </w:pPr>
      <w:r>
        <w:rPr>
          <w:color w:val="auto"/>
          <w:sz w:val="24"/>
        </w:rPr>
        <w:t>（二）时间、地点要求</w:t>
      </w:r>
    </w:p>
    <w:p>
      <w:pPr>
        <w:autoSpaceDE w:val="0"/>
        <w:autoSpaceDN w:val="0"/>
        <w:adjustRightInd w:val="0"/>
        <w:spacing w:line="360" w:lineRule="auto"/>
        <w:ind w:firstLine="448" w:firstLineChars="200"/>
        <w:rPr>
          <w:color w:val="auto"/>
          <w:sz w:val="24"/>
        </w:rPr>
      </w:pPr>
      <w:r>
        <w:rPr>
          <w:color w:val="auto"/>
          <w:sz w:val="24"/>
        </w:rPr>
        <w:t>1. 时间要求：</w:t>
      </w:r>
      <w:r>
        <w:rPr>
          <w:rFonts w:hint="eastAsia"/>
          <w:color w:val="auto"/>
          <w:sz w:val="24"/>
        </w:rPr>
        <w:t>合同规定的保险期限起始之日起1年的保险期</w:t>
      </w:r>
      <w:r>
        <w:rPr>
          <w:color w:val="auto"/>
          <w:sz w:val="24"/>
        </w:rPr>
        <w:t>（特殊情况以合同为准）。</w:t>
      </w:r>
    </w:p>
    <w:p>
      <w:pPr>
        <w:autoSpaceDE w:val="0"/>
        <w:autoSpaceDN w:val="0"/>
        <w:adjustRightInd w:val="0"/>
        <w:spacing w:line="360" w:lineRule="auto"/>
        <w:ind w:firstLine="448" w:firstLineChars="200"/>
        <w:rPr>
          <w:color w:val="auto"/>
          <w:sz w:val="24"/>
        </w:rPr>
      </w:pPr>
      <w:r>
        <w:rPr>
          <w:color w:val="auto"/>
          <w:sz w:val="24"/>
        </w:rPr>
        <w:t>2. 服务地点：</w:t>
      </w:r>
      <w:r>
        <w:rPr>
          <w:rFonts w:hint="eastAsia"/>
          <w:color w:val="auto"/>
          <w:sz w:val="24"/>
          <w:lang w:eastAsia="zh-CN"/>
        </w:rPr>
        <w:t>采购人指定地点</w:t>
      </w:r>
      <w:r>
        <w:rPr>
          <w:color w:val="auto"/>
          <w:sz w:val="24"/>
        </w:rPr>
        <w:t>（特殊情况以合同为准）。</w:t>
      </w:r>
    </w:p>
    <w:p>
      <w:pPr>
        <w:autoSpaceDE w:val="0"/>
        <w:autoSpaceDN w:val="0"/>
        <w:adjustRightInd w:val="0"/>
        <w:spacing w:line="360" w:lineRule="auto"/>
        <w:ind w:firstLine="448" w:firstLineChars="200"/>
        <w:rPr>
          <w:sz w:val="24"/>
        </w:rPr>
      </w:pPr>
      <w:r>
        <w:rPr>
          <w:sz w:val="24"/>
        </w:rPr>
        <w:t>（</w:t>
      </w:r>
      <w:r>
        <w:rPr>
          <w:rFonts w:hint="eastAsia"/>
          <w:sz w:val="24"/>
        </w:rPr>
        <w:t>三</w:t>
      </w:r>
      <w:r>
        <w:rPr>
          <w:sz w:val="24"/>
        </w:rPr>
        <w:t>）付款方式</w:t>
      </w:r>
    </w:p>
    <w:p>
      <w:pPr>
        <w:autoSpaceDE w:val="0"/>
        <w:autoSpaceDN w:val="0"/>
        <w:adjustRightInd w:val="0"/>
        <w:spacing w:line="360" w:lineRule="auto"/>
        <w:ind w:firstLine="448" w:firstLineChars="200"/>
        <w:rPr>
          <w:rFonts w:hint="eastAsia"/>
          <w:sz w:val="24"/>
        </w:rPr>
      </w:pPr>
      <w:r>
        <w:rPr>
          <w:rFonts w:hint="eastAsia"/>
          <w:sz w:val="24"/>
        </w:rPr>
        <w:t>保险费按采购批次进行结算（每3个月采购一批）</w:t>
      </w:r>
      <w:r>
        <w:rPr>
          <w:rFonts w:hint="eastAsia"/>
          <w:sz w:val="24"/>
          <w:lang w:eastAsia="zh-CN"/>
        </w:rPr>
        <w:t>，</w:t>
      </w:r>
      <w:r>
        <w:rPr>
          <w:rFonts w:hint="eastAsia"/>
          <w:sz w:val="24"/>
        </w:rPr>
        <w:t>在采购人确定该批次需购买保险的车辆具体信息5个工作日内，中标供应商须将该批次车辆保险价格清单及交付申请书等相关资料交给采购人。在核对相关资料无误后，采购人于10个工作日内办理该批次车辆保险费用的支付手续。在收到采购人支付的保险费用后，中标供应商须在5个工作日内将该批次的车辆保险单及相应的发票提交给采购人（特殊情况以合同为准）。</w:t>
      </w:r>
    </w:p>
    <w:p>
      <w:pPr>
        <w:autoSpaceDE w:val="0"/>
        <w:autoSpaceDN w:val="0"/>
        <w:adjustRightInd w:val="0"/>
        <w:spacing w:line="360" w:lineRule="auto"/>
        <w:ind w:firstLine="448" w:firstLineChars="200"/>
        <w:rPr>
          <w:sz w:val="24"/>
        </w:rPr>
      </w:pPr>
      <w:r>
        <w:rPr>
          <w:sz w:val="24"/>
        </w:rPr>
        <w:t>（</w:t>
      </w:r>
      <w:r>
        <w:rPr>
          <w:rFonts w:hint="eastAsia"/>
          <w:sz w:val="24"/>
        </w:rPr>
        <w:t>四</w:t>
      </w:r>
      <w:r>
        <w:rPr>
          <w:sz w:val="24"/>
        </w:rPr>
        <w:t>）</w:t>
      </w:r>
      <w:r>
        <w:rPr>
          <w:rFonts w:hint="eastAsia"/>
          <w:sz w:val="24"/>
        </w:rPr>
        <w:t>磋商</w:t>
      </w:r>
      <w:r>
        <w:rPr>
          <w:sz w:val="24"/>
        </w:rPr>
        <w:t>保证金和履约保证金</w:t>
      </w:r>
    </w:p>
    <w:p>
      <w:pPr>
        <w:pStyle w:val="31"/>
        <w:spacing w:line="360" w:lineRule="auto"/>
        <w:ind w:firstLine="448"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本项目不收取磋商保证金及履约保证金。</w:t>
      </w:r>
    </w:p>
    <w:p>
      <w:pPr>
        <w:numPr>
          <w:ilvl w:val="0"/>
          <w:numId w:val="2"/>
        </w:numPr>
        <w:autoSpaceDE w:val="0"/>
        <w:autoSpaceDN w:val="0"/>
        <w:adjustRightInd w:val="0"/>
        <w:spacing w:line="360" w:lineRule="auto"/>
        <w:ind w:firstLine="448" w:firstLineChars="200"/>
        <w:rPr>
          <w:rFonts w:hint="eastAsia"/>
          <w:color w:val="000000"/>
          <w:sz w:val="24"/>
        </w:rPr>
      </w:pPr>
      <w:r>
        <w:rPr>
          <w:rFonts w:hint="eastAsia"/>
          <w:color w:val="000000"/>
          <w:sz w:val="24"/>
        </w:rPr>
        <w:t>验收方法及标准</w:t>
      </w:r>
    </w:p>
    <w:p>
      <w:pPr>
        <w:numPr>
          <w:ilvl w:val="0"/>
          <w:numId w:val="0"/>
        </w:numPr>
        <w:autoSpaceDE w:val="0"/>
        <w:autoSpaceDN w:val="0"/>
        <w:adjustRightInd w:val="0"/>
        <w:spacing w:line="360" w:lineRule="auto"/>
        <w:ind w:firstLine="448" w:firstLineChars="200"/>
        <w:rPr>
          <w:rFonts w:hint="eastAsia"/>
          <w:color w:val="000000"/>
          <w:sz w:val="24"/>
        </w:rPr>
      </w:pPr>
      <w:r>
        <w:rPr>
          <w:rFonts w:hint="eastAsia"/>
          <w:color w:val="000000"/>
          <w:sz w:val="24"/>
        </w:rPr>
        <w:t>按照采购合同的约定对保险公司的理赔流程和服务质量，包括理赔速度、客服响应等方面的履约情况进行考核与验收。必要时，采购人有权邀请参加本项目的其他投标人或者第三方机构参与验收。参与验收的投标人或者第三方机构的意见作为验收的参考资料一并存档。验收结束后，应当出具验收书，列明各项服务的考核验收情况及项目总体评价，由验收双方共同签署。</w:t>
      </w:r>
    </w:p>
    <w:p>
      <w:pPr>
        <w:autoSpaceDE w:val="0"/>
        <w:autoSpaceDN w:val="0"/>
        <w:adjustRightInd w:val="0"/>
        <w:spacing w:line="360" w:lineRule="auto"/>
        <w:ind w:firstLine="448" w:firstLineChars="200"/>
        <w:rPr>
          <w:bCs/>
          <w:sz w:val="24"/>
        </w:rPr>
      </w:pPr>
      <w:r>
        <w:rPr>
          <w:sz w:val="24"/>
        </w:rPr>
        <w:t>二</w:t>
      </w:r>
      <w:r>
        <w:rPr>
          <w:bCs/>
          <w:sz w:val="24"/>
        </w:rPr>
        <w:t>、技术要求</w:t>
      </w:r>
    </w:p>
    <w:p>
      <w:pPr>
        <w:spacing w:line="360" w:lineRule="auto"/>
        <w:ind w:firstLine="448" w:firstLineChars="200"/>
        <w:outlineLvl w:val="0"/>
        <w:rPr>
          <w:rFonts w:hint="eastAsia"/>
          <w:sz w:val="24"/>
        </w:rPr>
      </w:pPr>
      <w:r>
        <w:rPr>
          <w:rFonts w:hint="eastAsia"/>
          <w:sz w:val="24"/>
        </w:rPr>
        <w:t>（一）承保车辆信息（见</w:t>
      </w:r>
      <w:r>
        <w:rPr>
          <w:rFonts w:hint="eastAsia"/>
          <w:sz w:val="24"/>
          <w:lang w:eastAsia="zh-CN"/>
        </w:rPr>
        <w:t>项目需求书</w:t>
      </w:r>
      <w:r>
        <w:rPr>
          <w:rFonts w:hint="eastAsia"/>
          <w:sz w:val="24"/>
        </w:rPr>
        <w:t>）。</w:t>
      </w:r>
    </w:p>
    <w:p>
      <w:pPr>
        <w:spacing w:line="360" w:lineRule="auto"/>
        <w:ind w:firstLine="448" w:firstLineChars="200"/>
        <w:outlineLvl w:val="0"/>
        <w:rPr>
          <w:rFonts w:hint="eastAsia"/>
          <w:sz w:val="24"/>
        </w:rPr>
      </w:pPr>
      <w:r>
        <w:rPr>
          <w:rFonts w:hint="eastAsia"/>
          <w:sz w:val="24"/>
        </w:rPr>
        <w:t>（二）承保基本服务承诺</w:t>
      </w:r>
    </w:p>
    <w:p>
      <w:pPr>
        <w:spacing w:line="360" w:lineRule="auto"/>
        <w:ind w:firstLine="448" w:firstLineChars="200"/>
        <w:outlineLvl w:val="0"/>
        <w:rPr>
          <w:rFonts w:hint="eastAsia"/>
          <w:sz w:val="24"/>
        </w:rPr>
      </w:pPr>
      <w:r>
        <w:rPr>
          <w:rFonts w:hint="eastAsia"/>
          <w:sz w:val="24"/>
        </w:rPr>
        <w:t>成交供应商与采购人协商确定具体负责部门、负责人及服务专员，负责采购人投保车辆全部承保、理赔服务，并提供上门服务。</w:t>
      </w:r>
    </w:p>
    <w:p>
      <w:pPr>
        <w:spacing w:line="360" w:lineRule="auto"/>
        <w:ind w:firstLine="448" w:firstLineChars="200"/>
        <w:outlineLvl w:val="0"/>
        <w:rPr>
          <w:rFonts w:hint="eastAsia"/>
          <w:sz w:val="24"/>
        </w:rPr>
      </w:pPr>
      <w:r>
        <w:rPr>
          <w:rFonts w:hint="eastAsia"/>
          <w:sz w:val="24"/>
        </w:rPr>
        <w:t>（三）理赔基本服务承诺</w:t>
      </w:r>
    </w:p>
    <w:p>
      <w:pPr>
        <w:spacing w:line="360" w:lineRule="auto"/>
        <w:ind w:firstLine="448" w:firstLineChars="200"/>
        <w:outlineLvl w:val="0"/>
        <w:rPr>
          <w:rFonts w:hint="eastAsia"/>
          <w:sz w:val="24"/>
        </w:rPr>
      </w:pPr>
      <w:r>
        <w:rPr>
          <w:rFonts w:hint="eastAsia"/>
          <w:sz w:val="24"/>
        </w:rPr>
        <w:t>1. 理赔指导</w:t>
      </w:r>
    </w:p>
    <w:p>
      <w:pPr>
        <w:spacing w:line="360" w:lineRule="auto"/>
        <w:ind w:firstLine="448" w:firstLineChars="200"/>
        <w:outlineLvl w:val="0"/>
        <w:rPr>
          <w:rFonts w:hint="eastAsia"/>
          <w:sz w:val="24"/>
        </w:rPr>
      </w:pPr>
      <w:r>
        <w:rPr>
          <w:rFonts w:hint="eastAsia"/>
          <w:sz w:val="24"/>
        </w:rPr>
        <w:t>承保初期组织理赔指导服务，组织采购人进行详细的讲解和说明。赔案发生后，服务专员协助采购人办理索赔手续，及时答复采购人提出的相关问题。</w:t>
      </w:r>
    </w:p>
    <w:p>
      <w:pPr>
        <w:spacing w:line="360" w:lineRule="auto"/>
        <w:ind w:firstLine="448" w:firstLineChars="200"/>
        <w:outlineLvl w:val="0"/>
        <w:rPr>
          <w:rFonts w:hint="eastAsia"/>
          <w:sz w:val="24"/>
        </w:rPr>
      </w:pPr>
      <w:r>
        <w:rPr>
          <w:rFonts w:hint="eastAsia"/>
          <w:sz w:val="24"/>
        </w:rPr>
        <w:t>2. 快速查勘定损</w:t>
      </w:r>
    </w:p>
    <w:p>
      <w:pPr>
        <w:spacing w:line="360" w:lineRule="auto"/>
        <w:ind w:firstLine="448" w:firstLineChars="200"/>
        <w:outlineLvl w:val="0"/>
        <w:rPr>
          <w:rFonts w:hint="eastAsia"/>
          <w:sz w:val="24"/>
        </w:rPr>
      </w:pPr>
      <w:r>
        <w:rPr>
          <w:rFonts w:hint="eastAsia"/>
          <w:sz w:val="24"/>
        </w:rPr>
        <w:t>车辆出险后，出险车辆可在第一时间内与服务专员进行联系，也可拨打24小时客户服务热线或本项目服务专线报案。</w:t>
      </w:r>
    </w:p>
    <w:p>
      <w:pPr>
        <w:spacing w:line="360" w:lineRule="auto"/>
        <w:ind w:firstLine="448" w:firstLineChars="200"/>
        <w:outlineLvl w:val="0"/>
        <w:rPr>
          <w:rFonts w:hint="eastAsia"/>
          <w:sz w:val="24"/>
        </w:rPr>
      </w:pPr>
      <w:r>
        <w:rPr>
          <w:rFonts w:hint="eastAsia"/>
          <w:sz w:val="24"/>
        </w:rPr>
        <w:t>3. 承修质量保证</w:t>
      </w:r>
    </w:p>
    <w:p>
      <w:pPr>
        <w:spacing w:line="360" w:lineRule="auto"/>
        <w:ind w:firstLine="448" w:firstLineChars="200"/>
        <w:outlineLvl w:val="0"/>
        <w:rPr>
          <w:rFonts w:hint="eastAsia"/>
          <w:sz w:val="24"/>
        </w:rPr>
      </w:pPr>
      <w:r>
        <w:rPr>
          <w:rFonts w:hint="eastAsia"/>
          <w:sz w:val="24"/>
        </w:rPr>
        <w:t>车辆出险后，采购人可以到自行招标的维修企业或由保险公司提供不同车型的合作4S店进行维修，保证出险车辆及时、高质量的得到修复。成交供应商应与修理厂及各车型4S店密切合作并签订合作协议。</w:t>
      </w:r>
    </w:p>
    <w:p>
      <w:pPr>
        <w:spacing w:line="360" w:lineRule="auto"/>
        <w:ind w:firstLine="448" w:firstLineChars="200"/>
        <w:outlineLvl w:val="0"/>
        <w:rPr>
          <w:rFonts w:hint="eastAsia"/>
          <w:sz w:val="24"/>
        </w:rPr>
      </w:pPr>
      <w:r>
        <w:rPr>
          <w:rFonts w:hint="eastAsia"/>
          <w:sz w:val="24"/>
        </w:rPr>
        <w:t>4. 理赔服务时限</w:t>
      </w:r>
    </w:p>
    <w:p>
      <w:pPr>
        <w:spacing w:line="360" w:lineRule="auto"/>
        <w:ind w:firstLine="448" w:firstLineChars="200"/>
        <w:outlineLvl w:val="0"/>
        <w:rPr>
          <w:rFonts w:hint="eastAsia"/>
          <w:sz w:val="24"/>
        </w:rPr>
      </w:pPr>
      <w:r>
        <w:rPr>
          <w:rFonts w:hint="eastAsia"/>
          <w:sz w:val="24"/>
        </w:rPr>
        <w:t>（1）现场查勘时限</w:t>
      </w:r>
    </w:p>
    <w:p>
      <w:pPr>
        <w:spacing w:line="360" w:lineRule="auto"/>
        <w:ind w:firstLine="448" w:firstLineChars="200"/>
        <w:outlineLvl w:val="0"/>
        <w:rPr>
          <w:rFonts w:hint="eastAsia"/>
          <w:sz w:val="24"/>
        </w:rPr>
      </w:pPr>
      <w:r>
        <w:rPr>
          <w:rFonts w:hint="eastAsia"/>
          <w:sz w:val="24"/>
        </w:rPr>
        <w:t>接到报案后，如成交供应商认为需要现场查勘，应立即指派服务专员及专门人员出现场，市内应在40分钟之内，郊区县应在90分钟之内到达事故现场，外地出险，保险公司查勘调度应在半小时之内与当地系统内公司取得联系，并督促到达事故现场查勘。</w:t>
      </w:r>
    </w:p>
    <w:p>
      <w:pPr>
        <w:spacing w:line="360" w:lineRule="auto"/>
        <w:ind w:firstLine="448" w:firstLineChars="200"/>
        <w:outlineLvl w:val="0"/>
        <w:rPr>
          <w:rFonts w:hint="eastAsia"/>
          <w:sz w:val="24"/>
        </w:rPr>
      </w:pPr>
      <w:r>
        <w:rPr>
          <w:rFonts w:hint="eastAsia"/>
          <w:sz w:val="24"/>
        </w:rPr>
        <w:t>（2）赔付时限</w:t>
      </w:r>
    </w:p>
    <w:p>
      <w:pPr>
        <w:spacing w:line="360" w:lineRule="auto"/>
        <w:ind w:firstLine="448" w:firstLineChars="200"/>
        <w:outlineLvl w:val="0"/>
        <w:rPr>
          <w:rFonts w:hint="eastAsia"/>
          <w:sz w:val="24"/>
        </w:rPr>
      </w:pPr>
      <w:r>
        <w:rPr>
          <w:rFonts w:hint="eastAsia"/>
          <w:sz w:val="24"/>
        </w:rPr>
        <w:t>采购人提供完整的单证后，成交供应商按下列时限支付赔款：</w:t>
      </w:r>
    </w:p>
    <w:p>
      <w:pPr>
        <w:spacing w:line="360" w:lineRule="auto"/>
        <w:ind w:firstLine="448" w:firstLineChars="200"/>
        <w:outlineLvl w:val="0"/>
        <w:rPr>
          <w:rFonts w:hint="eastAsia"/>
          <w:sz w:val="24"/>
        </w:rPr>
      </w:pPr>
      <w:r>
        <w:rPr>
          <w:rFonts w:hint="eastAsia"/>
          <w:sz w:val="24"/>
        </w:rPr>
        <w:t>5000元以下的赔案，在收到采购人提交的索赔材料齐全有效后，实行绿色通道，立等可取；30000元以下的赔案，在收到采购人提交的索赔材料齐全有效后，2个工作日内支付赔款；30000元以上（含30000元）的赔案，在收到采购人提交的索赔材料齐全有效后，5个工作日内支付赔款。</w:t>
      </w:r>
    </w:p>
    <w:p>
      <w:pPr>
        <w:spacing w:line="360" w:lineRule="auto"/>
        <w:ind w:firstLine="448" w:firstLineChars="200"/>
        <w:outlineLvl w:val="0"/>
        <w:rPr>
          <w:rFonts w:hint="eastAsia"/>
          <w:sz w:val="24"/>
        </w:rPr>
      </w:pPr>
      <w:r>
        <w:rPr>
          <w:rFonts w:hint="eastAsia"/>
          <w:sz w:val="24"/>
        </w:rPr>
        <w:t>5. 小额一般事故（理赔额不超过5000元）：简化处理手续，为本项目设立理赔绿色通道，使赔案在各理赔环节均得到优先处理。</w:t>
      </w:r>
    </w:p>
    <w:p>
      <w:pPr>
        <w:spacing w:line="360" w:lineRule="auto"/>
        <w:ind w:firstLine="448" w:firstLineChars="200"/>
        <w:outlineLvl w:val="0"/>
        <w:rPr>
          <w:rFonts w:hint="eastAsia"/>
          <w:sz w:val="24"/>
        </w:rPr>
      </w:pPr>
      <w:r>
        <w:rPr>
          <w:rFonts w:hint="eastAsia"/>
          <w:sz w:val="24"/>
        </w:rPr>
        <w:t>6. 理赔手续：由合作修理店代为办理理赔手续。</w:t>
      </w:r>
    </w:p>
    <w:p>
      <w:pPr>
        <w:spacing w:line="360" w:lineRule="auto"/>
        <w:ind w:firstLine="448" w:firstLineChars="200"/>
        <w:outlineLvl w:val="0"/>
        <w:rPr>
          <w:rFonts w:hint="eastAsia"/>
          <w:sz w:val="24"/>
        </w:rPr>
      </w:pPr>
      <w:r>
        <w:rPr>
          <w:rFonts w:hint="eastAsia"/>
          <w:sz w:val="24"/>
        </w:rPr>
        <w:t>7. 应急服务措施：包括紧急情况、特殊灾害等。</w:t>
      </w:r>
    </w:p>
    <w:p>
      <w:pPr>
        <w:spacing w:line="360" w:lineRule="auto"/>
        <w:ind w:firstLine="448" w:firstLineChars="200"/>
        <w:outlineLvl w:val="0"/>
        <w:rPr>
          <w:sz w:val="24"/>
        </w:rPr>
      </w:pPr>
      <w:r>
        <w:rPr>
          <w:sz w:val="24"/>
        </w:rPr>
        <w:t>三、评</w:t>
      </w:r>
      <w:r>
        <w:rPr>
          <w:rFonts w:hint="eastAsia"/>
          <w:sz w:val="24"/>
          <w:lang w:eastAsia="zh-CN"/>
        </w:rPr>
        <w:t>审</w:t>
      </w:r>
      <w:r>
        <w:rPr>
          <w:sz w:val="24"/>
        </w:rPr>
        <w:t>因素及评标标准</w:t>
      </w:r>
    </w:p>
    <w:tbl>
      <w:tblPr>
        <w:tblStyle w:val="19"/>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pPr>
              <w:widowControl/>
              <w:jc w:val="center"/>
              <w:rPr>
                <w:kern w:val="0"/>
                <w:sz w:val="24"/>
                <w:szCs w:val="24"/>
              </w:rPr>
            </w:pPr>
            <w:r>
              <w:rPr>
                <w:kern w:val="0"/>
                <w:sz w:val="24"/>
                <w:szCs w:val="24"/>
              </w:rPr>
              <w:t>第一部分</w:t>
            </w:r>
            <w:r>
              <w:rPr>
                <w:rFonts w:hint="eastAsia"/>
                <w:kern w:val="0"/>
                <w:sz w:val="24"/>
                <w:szCs w:val="24"/>
              </w:rPr>
              <w:t>价格分（30分）</w:t>
            </w:r>
          </w:p>
        </w:tc>
        <w:tc>
          <w:tcPr>
            <w:tcW w:w="1143" w:type="dxa"/>
            <w:shd w:val="clear" w:color="auto" w:fill="auto"/>
            <w:vAlign w:val="center"/>
          </w:tcPr>
          <w:p>
            <w:pPr>
              <w:widowControl/>
              <w:jc w:val="center"/>
              <w:rPr>
                <w:kern w:val="0"/>
                <w:sz w:val="24"/>
                <w:szCs w:val="24"/>
              </w:rPr>
            </w:pPr>
            <w:r>
              <w:rPr>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pPr>
              <w:widowControl/>
              <w:jc w:val="center"/>
              <w:rPr>
                <w:kern w:val="0"/>
                <w:sz w:val="24"/>
                <w:szCs w:val="24"/>
              </w:rPr>
            </w:pPr>
            <w:r>
              <w:rPr>
                <w:kern w:val="0"/>
                <w:sz w:val="24"/>
                <w:szCs w:val="24"/>
              </w:rPr>
              <w:t>1</w:t>
            </w:r>
          </w:p>
        </w:tc>
        <w:tc>
          <w:tcPr>
            <w:tcW w:w="1419" w:type="dxa"/>
            <w:shd w:val="clear" w:color="auto" w:fill="auto"/>
            <w:vAlign w:val="center"/>
          </w:tcPr>
          <w:p>
            <w:pPr>
              <w:widowControl/>
              <w:spacing w:line="400" w:lineRule="exact"/>
              <w:jc w:val="center"/>
              <w:rPr>
                <w:kern w:val="0"/>
                <w:sz w:val="24"/>
                <w:szCs w:val="24"/>
              </w:rPr>
            </w:pPr>
            <w:r>
              <w:rPr>
                <w:kern w:val="0"/>
                <w:sz w:val="24"/>
                <w:szCs w:val="24"/>
              </w:rPr>
              <w:t>价格</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（1）投标报价超过采购预算的，投标无效，未超过采购预算的投标报价按以下公式进行计算</w:t>
            </w:r>
          </w:p>
          <w:p>
            <w:pPr>
              <w:widowControl/>
              <w:spacing w:line="400" w:lineRule="exact"/>
              <w:rPr>
                <w:kern w:val="0"/>
                <w:sz w:val="24"/>
                <w:szCs w:val="24"/>
              </w:rPr>
            </w:pPr>
            <w:r>
              <w:rPr>
                <w:rFonts w:hint="eastAsia"/>
                <w:kern w:val="0"/>
                <w:sz w:val="24"/>
                <w:szCs w:val="24"/>
              </w:rPr>
              <w:t>（2）投标报价得分=（评标基准价/投标报价）×30</w:t>
            </w:r>
          </w:p>
          <w:p>
            <w:pPr>
              <w:widowControl/>
              <w:spacing w:line="400" w:lineRule="exact"/>
              <w:rPr>
                <w:kern w:val="0"/>
                <w:sz w:val="24"/>
                <w:szCs w:val="24"/>
              </w:rPr>
            </w:pPr>
            <w:r>
              <w:rPr>
                <w:rFonts w:hint="eastAsia"/>
                <w:kern w:val="0"/>
                <w:sz w:val="24"/>
                <w:szCs w:val="24"/>
              </w:rPr>
              <w:t>注：满足招标文件要求且投标报价最低的投标报价为评标基准价</w:t>
            </w:r>
          </w:p>
        </w:tc>
        <w:tc>
          <w:tcPr>
            <w:tcW w:w="1143" w:type="dxa"/>
            <w:shd w:val="clear" w:color="auto" w:fill="auto"/>
            <w:vAlign w:val="center"/>
          </w:tcPr>
          <w:p>
            <w:pPr>
              <w:widowControl/>
              <w:jc w:val="center"/>
              <w:rPr>
                <w:kern w:val="0"/>
                <w:sz w:val="24"/>
                <w:szCs w:val="24"/>
              </w:rPr>
            </w:pPr>
            <w:r>
              <w:rPr>
                <w:rFonts w:hint="eastAsia"/>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393" w:type="dxa"/>
            <w:gridSpan w:val="3"/>
            <w:shd w:val="clear" w:color="auto" w:fill="auto"/>
            <w:noWrap/>
            <w:vAlign w:val="center"/>
          </w:tcPr>
          <w:p>
            <w:pPr>
              <w:widowControl/>
              <w:spacing w:line="400" w:lineRule="exact"/>
              <w:jc w:val="center"/>
              <w:rPr>
                <w:kern w:val="0"/>
                <w:sz w:val="24"/>
                <w:szCs w:val="24"/>
              </w:rPr>
            </w:pPr>
            <w:r>
              <w:rPr>
                <w:kern w:val="0"/>
                <w:sz w:val="24"/>
                <w:szCs w:val="24"/>
              </w:rPr>
              <w:t>第二部分客观分（</w:t>
            </w:r>
            <w:r>
              <w:rPr>
                <w:rFonts w:hint="eastAsia"/>
                <w:kern w:val="0"/>
                <w:sz w:val="24"/>
                <w:szCs w:val="24"/>
              </w:rPr>
              <w:t>46</w:t>
            </w:r>
            <w:r>
              <w:rPr>
                <w:kern w:val="0"/>
                <w:sz w:val="24"/>
                <w:szCs w:val="24"/>
              </w:rPr>
              <w:t>分）</w:t>
            </w:r>
          </w:p>
        </w:tc>
        <w:tc>
          <w:tcPr>
            <w:tcW w:w="1143" w:type="dxa"/>
            <w:shd w:val="clear" w:color="auto" w:fill="auto"/>
            <w:vAlign w:val="center"/>
          </w:tcPr>
          <w:p>
            <w:pPr>
              <w:widowControl/>
              <w:jc w:val="center"/>
              <w:rPr>
                <w:kern w:val="0"/>
                <w:sz w:val="24"/>
                <w:szCs w:val="24"/>
              </w:rPr>
            </w:pPr>
            <w:r>
              <w:rPr>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kern w:val="0"/>
                <w:sz w:val="24"/>
                <w:szCs w:val="24"/>
              </w:rPr>
              <w:t>1</w:t>
            </w:r>
          </w:p>
        </w:tc>
        <w:tc>
          <w:tcPr>
            <w:tcW w:w="1419" w:type="dxa"/>
            <w:shd w:val="clear" w:color="auto" w:fill="auto"/>
            <w:vAlign w:val="center"/>
          </w:tcPr>
          <w:p>
            <w:pPr>
              <w:widowControl/>
              <w:spacing w:line="400" w:lineRule="exact"/>
              <w:jc w:val="center"/>
              <w:rPr>
                <w:kern w:val="0"/>
                <w:sz w:val="24"/>
                <w:szCs w:val="24"/>
              </w:rPr>
            </w:pPr>
            <w:r>
              <w:rPr>
                <w:kern w:val="0"/>
                <w:sz w:val="24"/>
                <w:szCs w:val="24"/>
              </w:rPr>
              <w:t>投标人业绩</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完全按照以下要求提供投标人曾实施的机动车保险服务业绩，提供的证明材料均不得遮挡涂黑，否则不予认定加分。</w:t>
            </w:r>
          </w:p>
          <w:p>
            <w:pPr>
              <w:widowControl/>
              <w:spacing w:line="400" w:lineRule="exact"/>
              <w:rPr>
                <w:kern w:val="0"/>
                <w:sz w:val="24"/>
                <w:szCs w:val="24"/>
              </w:rPr>
            </w:pPr>
            <w:r>
              <w:rPr>
                <w:rFonts w:hint="eastAsia"/>
                <w:kern w:val="0"/>
                <w:sz w:val="24"/>
                <w:szCs w:val="24"/>
              </w:rPr>
              <w:t>A. 合同原件扫描件（合同签订时间为202</w:t>
            </w:r>
            <w:r>
              <w:rPr>
                <w:rFonts w:hint="eastAsia"/>
                <w:kern w:val="0"/>
                <w:sz w:val="24"/>
                <w:szCs w:val="24"/>
                <w:lang w:val="en-US" w:eastAsia="zh-CN"/>
              </w:rPr>
              <w:t>1</w:t>
            </w:r>
            <w:r>
              <w:rPr>
                <w:rFonts w:hint="eastAsia"/>
                <w:kern w:val="0"/>
                <w:sz w:val="24"/>
                <w:szCs w:val="24"/>
              </w:rPr>
              <w:t>年1月1日至今）。包括合同金额、买卖双方名称及盖章、承保机动车数量、合同签订日期。</w:t>
            </w:r>
          </w:p>
          <w:p>
            <w:pPr>
              <w:widowControl/>
              <w:spacing w:line="400" w:lineRule="exact"/>
              <w:rPr>
                <w:kern w:val="0"/>
                <w:sz w:val="24"/>
                <w:szCs w:val="24"/>
              </w:rPr>
            </w:pPr>
            <w:r>
              <w:rPr>
                <w:rFonts w:hint="eastAsia"/>
                <w:kern w:val="0"/>
                <w:sz w:val="24"/>
                <w:szCs w:val="24"/>
              </w:rPr>
              <w:t>B. 上述合同履行良好的相关证明材料原件扫描件（加盖上述合同甲方单位公章或上述合同甲方印章）。</w:t>
            </w:r>
          </w:p>
          <w:p>
            <w:pPr>
              <w:widowControl/>
              <w:spacing w:line="400" w:lineRule="exact"/>
              <w:rPr>
                <w:kern w:val="0"/>
                <w:sz w:val="24"/>
                <w:szCs w:val="24"/>
              </w:rPr>
            </w:pPr>
            <w:r>
              <w:rPr>
                <w:rFonts w:hint="eastAsia"/>
                <w:kern w:val="0"/>
                <w:sz w:val="24"/>
                <w:szCs w:val="24"/>
              </w:rPr>
              <w:t>1个业绩2分，最多10分</w:t>
            </w:r>
          </w:p>
        </w:tc>
        <w:tc>
          <w:tcPr>
            <w:tcW w:w="1143" w:type="dxa"/>
            <w:shd w:val="clear" w:color="auto" w:fill="auto"/>
            <w:vAlign w:val="center"/>
          </w:tcPr>
          <w:p>
            <w:pPr>
              <w:widowControl/>
              <w:jc w:val="center"/>
              <w:rPr>
                <w:kern w:val="0"/>
                <w:sz w:val="24"/>
                <w:szCs w:val="24"/>
              </w:rPr>
            </w:pPr>
            <w:r>
              <w:rPr>
                <w:rFonts w:hint="eastAsia"/>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2</w:t>
            </w:r>
          </w:p>
        </w:tc>
        <w:tc>
          <w:tcPr>
            <w:tcW w:w="1419" w:type="dxa"/>
            <w:shd w:val="clear" w:color="auto" w:fill="auto"/>
            <w:vAlign w:val="center"/>
          </w:tcPr>
          <w:p>
            <w:pPr>
              <w:widowControl/>
              <w:spacing w:line="400" w:lineRule="exact"/>
              <w:jc w:val="center"/>
              <w:rPr>
                <w:kern w:val="0"/>
                <w:sz w:val="24"/>
                <w:szCs w:val="24"/>
              </w:rPr>
            </w:pPr>
            <w:r>
              <w:rPr>
                <w:rFonts w:hint="eastAsia"/>
                <w:kern w:val="0"/>
                <w:sz w:val="24"/>
                <w:szCs w:val="24"/>
              </w:rPr>
              <w:t>投标人所属法人企业偿付能力情况评价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202</w:t>
            </w:r>
            <w:r>
              <w:rPr>
                <w:rFonts w:hint="eastAsia"/>
                <w:kern w:val="0"/>
                <w:sz w:val="24"/>
                <w:szCs w:val="24"/>
                <w:lang w:val="en-US" w:eastAsia="zh-CN"/>
              </w:rPr>
              <w:t>2或2023</w:t>
            </w:r>
            <w:r>
              <w:rPr>
                <w:rFonts w:hint="eastAsia"/>
                <w:kern w:val="0"/>
                <w:sz w:val="24"/>
                <w:szCs w:val="24"/>
              </w:rPr>
              <w:t>年末投标人所属法人企业综合偿付能力充足率≥150%，得1分；在此基础上，每增加20个百分点加1分（不足20个百分点的不加分）。本项最高得8分。</w:t>
            </w:r>
          </w:p>
          <w:p>
            <w:pPr>
              <w:widowControl/>
              <w:spacing w:line="400" w:lineRule="exact"/>
              <w:rPr>
                <w:kern w:val="0"/>
                <w:sz w:val="24"/>
                <w:szCs w:val="24"/>
              </w:rPr>
            </w:pPr>
            <w:r>
              <w:rPr>
                <w:rFonts w:hint="eastAsia"/>
                <w:kern w:val="0"/>
                <w:sz w:val="24"/>
                <w:szCs w:val="24"/>
              </w:rPr>
              <w:t>投标人需提供所属法人企业202</w:t>
            </w:r>
            <w:r>
              <w:rPr>
                <w:rFonts w:hint="eastAsia"/>
                <w:kern w:val="0"/>
                <w:sz w:val="24"/>
                <w:szCs w:val="24"/>
                <w:lang w:val="en-US" w:eastAsia="zh-CN"/>
              </w:rPr>
              <w:t>2或2023</w:t>
            </w:r>
            <w:r>
              <w:rPr>
                <w:rFonts w:hint="eastAsia"/>
                <w:kern w:val="0"/>
                <w:sz w:val="24"/>
                <w:szCs w:val="24"/>
              </w:rPr>
              <w:t>年度经会计师事务所审计的偿付能力书面材料扫描件，否则，不得分。</w:t>
            </w:r>
          </w:p>
        </w:tc>
        <w:tc>
          <w:tcPr>
            <w:tcW w:w="1143" w:type="dxa"/>
            <w:shd w:val="clear" w:color="auto" w:fill="auto"/>
            <w:vAlign w:val="center"/>
          </w:tcPr>
          <w:p>
            <w:pPr>
              <w:widowControl/>
              <w:jc w:val="center"/>
              <w:rPr>
                <w:kern w:val="0"/>
                <w:sz w:val="24"/>
                <w:szCs w:val="24"/>
              </w:rPr>
            </w:pPr>
            <w:r>
              <w:rPr>
                <w:rFonts w:hint="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63" w:type="dxa"/>
            <w:shd w:val="clear" w:color="auto" w:fill="auto"/>
            <w:noWrap/>
            <w:vAlign w:val="center"/>
          </w:tcPr>
          <w:p>
            <w:pPr>
              <w:widowControl/>
              <w:jc w:val="center"/>
              <w:rPr>
                <w:kern w:val="0"/>
                <w:sz w:val="24"/>
                <w:szCs w:val="24"/>
                <w:highlight w:val="none"/>
              </w:rPr>
            </w:pPr>
            <w:r>
              <w:rPr>
                <w:rFonts w:hint="eastAsia"/>
                <w:kern w:val="0"/>
                <w:sz w:val="24"/>
                <w:szCs w:val="24"/>
                <w:highlight w:val="none"/>
              </w:rPr>
              <w:t>3</w:t>
            </w:r>
          </w:p>
        </w:tc>
        <w:tc>
          <w:tcPr>
            <w:tcW w:w="1419" w:type="dxa"/>
            <w:shd w:val="clear" w:color="auto" w:fill="auto"/>
            <w:vAlign w:val="center"/>
          </w:tcPr>
          <w:p>
            <w:pPr>
              <w:widowControl/>
              <w:spacing w:line="400" w:lineRule="exact"/>
              <w:jc w:val="center"/>
              <w:rPr>
                <w:kern w:val="0"/>
                <w:sz w:val="24"/>
                <w:szCs w:val="24"/>
                <w:highlight w:val="none"/>
              </w:rPr>
            </w:pPr>
            <w:r>
              <w:rPr>
                <w:rFonts w:hint="eastAsia"/>
                <w:sz w:val="24"/>
                <w:highlight w:val="none"/>
              </w:rPr>
              <w:t>投标人所属法人企业风险综合评级</w:t>
            </w:r>
          </w:p>
        </w:tc>
        <w:tc>
          <w:tcPr>
            <w:tcW w:w="7311" w:type="dxa"/>
            <w:shd w:val="clear" w:color="auto" w:fill="auto"/>
            <w:vAlign w:val="center"/>
          </w:tcPr>
          <w:p>
            <w:pPr>
              <w:widowControl/>
              <w:spacing w:line="400" w:lineRule="exact"/>
              <w:rPr>
                <w:kern w:val="0"/>
                <w:sz w:val="24"/>
                <w:szCs w:val="24"/>
                <w:highlight w:val="none"/>
              </w:rPr>
            </w:pPr>
            <w:r>
              <w:rPr>
                <w:rFonts w:hint="eastAsia"/>
                <w:kern w:val="0"/>
                <w:sz w:val="24"/>
                <w:szCs w:val="24"/>
                <w:highlight w:val="none"/>
              </w:rPr>
              <w:t>自202</w:t>
            </w:r>
            <w:r>
              <w:rPr>
                <w:rFonts w:hint="eastAsia"/>
                <w:kern w:val="0"/>
                <w:sz w:val="24"/>
                <w:szCs w:val="24"/>
                <w:highlight w:val="none"/>
                <w:lang w:val="en-US" w:eastAsia="zh-CN"/>
              </w:rPr>
              <w:t>2</w:t>
            </w:r>
            <w:r>
              <w:rPr>
                <w:rFonts w:hint="eastAsia"/>
                <w:kern w:val="0"/>
                <w:sz w:val="24"/>
                <w:szCs w:val="24"/>
                <w:highlight w:val="none"/>
              </w:rPr>
              <w:t>年第一季度至投标截止日期前，投标人所属法人企业在中国银行保险监督管理委员会发布的按季度进行的风险综合评级中获得1次“A”类的，得2分；获得1次“B”类的，得1分；本项最高得6分。</w:t>
            </w:r>
          </w:p>
          <w:p>
            <w:pPr>
              <w:widowControl/>
              <w:spacing w:line="400" w:lineRule="exact"/>
              <w:rPr>
                <w:kern w:val="0"/>
                <w:sz w:val="24"/>
                <w:szCs w:val="24"/>
                <w:highlight w:val="none"/>
              </w:rPr>
            </w:pPr>
            <w:r>
              <w:rPr>
                <w:rFonts w:hint="eastAsia"/>
                <w:kern w:val="0"/>
                <w:sz w:val="24"/>
                <w:szCs w:val="24"/>
                <w:highlight w:val="none"/>
              </w:rPr>
              <w:t>投标人须提供自202</w:t>
            </w:r>
            <w:r>
              <w:rPr>
                <w:rFonts w:hint="eastAsia"/>
                <w:kern w:val="0"/>
                <w:sz w:val="24"/>
                <w:szCs w:val="24"/>
                <w:highlight w:val="none"/>
                <w:lang w:val="en-US" w:eastAsia="zh-CN"/>
              </w:rPr>
              <w:t>2</w:t>
            </w:r>
            <w:r>
              <w:rPr>
                <w:rFonts w:hint="eastAsia"/>
                <w:kern w:val="0"/>
                <w:sz w:val="24"/>
                <w:szCs w:val="24"/>
                <w:highlight w:val="none"/>
              </w:rPr>
              <w:t>年第一季度至响应文件提交截止日期前中国银行保险监督管理委员会发布的对各家商业保险公司按季度进行的风险综合评级通报扫描件或通报截屏，否则不得分。</w:t>
            </w:r>
          </w:p>
        </w:tc>
        <w:tc>
          <w:tcPr>
            <w:tcW w:w="1143" w:type="dxa"/>
            <w:shd w:val="clear" w:color="auto" w:fill="auto"/>
            <w:vAlign w:val="center"/>
          </w:tcPr>
          <w:p>
            <w:pPr>
              <w:widowControl/>
              <w:jc w:val="center"/>
              <w:rPr>
                <w:kern w:val="0"/>
                <w:sz w:val="24"/>
                <w:szCs w:val="24"/>
              </w:rPr>
            </w:pPr>
            <w:r>
              <w:rPr>
                <w:rFonts w:hint="eastAsia"/>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4</w:t>
            </w:r>
          </w:p>
        </w:tc>
        <w:tc>
          <w:tcPr>
            <w:tcW w:w="1419" w:type="dxa"/>
            <w:shd w:val="clear" w:color="auto" w:fill="auto"/>
            <w:vAlign w:val="center"/>
          </w:tcPr>
          <w:p>
            <w:pPr>
              <w:widowControl/>
              <w:spacing w:line="400" w:lineRule="exact"/>
              <w:jc w:val="center"/>
              <w:rPr>
                <w:kern w:val="0"/>
                <w:sz w:val="24"/>
                <w:szCs w:val="24"/>
              </w:rPr>
            </w:pPr>
            <w:r>
              <w:rPr>
                <w:rFonts w:hint="eastAsia"/>
                <w:sz w:val="24"/>
              </w:rPr>
              <w:t>便捷化服务评价</w:t>
            </w:r>
          </w:p>
        </w:tc>
        <w:tc>
          <w:tcPr>
            <w:tcW w:w="7311" w:type="dxa"/>
            <w:shd w:val="clear" w:color="auto" w:fill="auto"/>
            <w:vAlign w:val="center"/>
          </w:tcPr>
          <w:p>
            <w:pPr>
              <w:widowControl/>
              <w:spacing w:line="400" w:lineRule="exact"/>
              <w:rPr>
                <w:kern w:val="0"/>
                <w:sz w:val="24"/>
                <w:szCs w:val="24"/>
                <w:highlight w:val="none"/>
              </w:rPr>
            </w:pPr>
            <w:r>
              <w:rPr>
                <w:rFonts w:hint="eastAsia"/>
                <w:kern w:val="0"/>
                <w:sz w:val="24"/>
                <w:szCs w:val="24"/>
                <w:highlight w:val="none"/>
              </w:rPr>
              <w:t>投标人须提供在所投包负责的区域内服务机构《经营保险业务许可证》扫描件或《保险许可证》扫描件，否则，不得分（不加分）。</w:t>
            </w:r>
          </w:p>
          <w:p>
            <w:pPr>
              <w:widowControl/>
              <w:spacing w:line="400" w:lineRule="exact"/>
              <w:rPr>
                <w:kern w:val="0"/>
                <w:sz w:val="24"/>
                <w:szCs w:val="24"/>
              </w:rPr>
            </w:pPr>
            <w:r>
              <w:rPr>
                <w:rFonts w:hint="eastAsia"/>
                <w:kern w:val="0"/>
                <w:sz w:val="24"/>
                <w:szCs w:val="24"/>
                <w:highlight w:val="none"/>
              </w:rPr>
              <w:t>投标人在上述区域内未设立服</w:t>
            </w:r>
            <w:r>
              <w:rPr>
                <w:rFonts w:hint="eastAsia"/>
                <w:color w:val="auto"/>
                <w:kern w:val="0"/>
                <w:sz w:val="24"/>
                <w:szCs w:val="24"/>
                <w:highlight w:val="none"/>
              </w:rPr>
              <w:t>务机构的，不得分；设立1至9家服务机构的，得1分；设立10家服务机构的，得2分；在10家服务机构基础上</w:t>
            </w:r>
            <w:r>
              <w:rPr>
                <w:rFonts w:hint="eastAsia"/>
                <w:kern w:val="0"/>
                <w:sz w:val="24"/>
                <w:szCs w:val="24"/>
                <w:highlight w:val="none"/>
              </w:rPr>
              <w:t>每增加5家加1分（不足5家的部分不加分）。本项最高得6分。</w:t>
            </w:r>
          </w:p>
        </w:tc>
        <w:tc>
          <w:tcPr>
            <w:tcW w:w="1143" w:type="dxa"/>
            <w:shd w:val="clear" w:color="auto" w:fill="auto"/>
            <w:vAlign w:val="center"/>
          </w:tcPr>
          <w:p>
            <w:pPr>
              <w:widowControl/>
              <w:jc w:val="center"/>
              <w:rPr>
                <w:kern w:val="0"/>
                <w:sz w:val="24"/>
                <w:szCs w:val="24"/>
              </w:rPr>
            </w:pPr>
            <w:r>
              <w:rPr>
                <w:rFonts w:hint="eastAsia"/>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5</w:t>
            </w:r>
          </w:p>
        </w:tc>
        <w:tc>
          <w:tcPr>
            <w:tcW w:w="1419" w:type="dxa"/>
            <w:shd w:val="clear" w:color="auto" w:fill="auto"/>
            <w:vAlign w:val="center"/>
          </w:tcPr>
          <w:p>
            <w:pPr>
              <w:widowControl/>
              <w:spacing w:line="400" w:lineRule="exact"/>
              <w:jc w:val="center"/>
              <w:rPr>
                <w:kern w:val="0"/>
                <w:sz w:val="24"/>
                <w:szCs w:val="24"/>
              </w:rPr>
            </w:pPr>
            <w:r>
              <w:rPr>
                <w:rFonts w:hint="eastAsia"/>
                <w:sz w:val="24"/>
              </w:rPr>
              <w:t>勘察人员评价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提供投标人（或投标人所属法人企业）为拟投入本项目的勘察人员缴纳社会保险证明扫描件。合格的勘察人员按以下原则给分：</w:t>
            </w:r>
          </w:p>
          <w:p>
            <w:pPr>
              <w:widowControl/>
              <w:spacing w:line="400" w:lineRule="exact"/>
              <w:rPr>
                <w:kern w:val="0"/>
                <w:sz w:val="24"/>
                <w:szCs w:val="24"/>
              </w:rPr>
            </w:pPr>
            <w:r>
              <w:rPr>
                <w:rFonts w:hint="eastAsia"/>
                <w:kern w:val="0"/>
                <w:sz w:val="24"/>
                <w:szCs w:val="24"/>
              </w:rPr>
              <w:t>80人（或以上）：10分；</w:t>
            </w:r>
          </w:p>
          <w:p>
            <w:pPr>
              <w:widowControl/>
              <w:spacing w:line="400" w:lineRule="exact"/>
              <w:rPr>
                <w:kern w:val="0"/>
                <w:sz w:val="24"/>
                <w:szCs w:val="24"/>
              </w:rPr>
            </w:pPr>
            <w:r>
              <w:rPr>
                <w:rFonts w:hint="eastAsia"/>
                <w:kern w:val="0"/>
                <w:sz w:val="24"/>
                <w:szCs w:val="24"/>
              </w:rPr>
              <w:t>60人-79人：8分；</w:t>
            </w:r>
          </w:p>
          <w:p>
            <w:pPr>
              <w:widowControl/>
              <w:spacing w:line="400" w:lineRule="exact"/>
              <w:rPr>
                <w:kern w:val="0"/>
                <w:sz w:val="24"/>
                <w:szCs w:val="24"/>
              </w:rPr>
            </w:pPr>
            <w:r>
              <w:rPr>
                <w:rFonts w:hint="eastAsia"/>
                <w:kern w:val="0"/>
                <w:sz w:val="24"/>
                <w:szCs w:val="24"/>
              </w:rPr>
              <w:t>50人-59人：6分；</w:t>
            </w:r>
          </w:p>
          <w:p>
            <w:pPr>
              <w:widowControl/>
              <w:spacing w:line="400" w:lineRule="exact"/>
              <w:rPr>
                <w:kern w:val="0"/>
                <w:sz w:val="24"/>
                <w:szCs w:val="24"/>
              </w:rPr>
            </w:pPr>
            <w:r>
              <w:rPr>
                <w:rFonts w:hint="eastAsia"/>
                <w:kern w:val="0"/>
                <w:sz w:val="24"/>
                <w:szCs w:val="24"/>
              </w:rPr>
              <w:t>40人-49人：4分；</w:t>
            </w:r>
          </w:p>
          <w:p>
            <w:pPr>
              <w:widowControl/>
              <w:spacing w:line="400" w:lineRule="exact"/>
              <w:rPr>
                <w:kern w:val="0"/>
                <w:sz w:val="24"/>
                <w:szCs w:val="24"/>
              </w:rPr>
            </w:pPr>
            <w:r>
              <w:rPr>
                <w:rFonts w:hint="eastAsia"/>
                <w:kern w:val="0"/>
                <w:sz w:val="24"/>
                <w:szCs w:val="24"/>
              </w:rPr>
              <w:t>30人-39人：2分；</w:t>
            </w:r>
          </w:p>
          <w:p>
            <w:pPr>
              <w:widowControl/>
              <w:spacing w:line="400" w:lineRule="exact"/>
              <w:rPr>
                <w:kern w:val="0"/>
                <w:sz w:val="24"/>
                <w:szCs w:val="24"/>
              </w:rPr>
            </w:pPr>
            <w:r>
              <w:rPr>
                <w:rFonts w:hint="eastAsia"/>
                <w:kern w:val="0"/>
                <w:sz w:val="24"/>
                <w:szCs w:val="24"/>
              </w:rPr>
              <w:t>10人-29人：1分；</w:t>
            </w:r>
          </w:p>
          <w:p>
            <w:pPr>
              <w:widowControl/>
              <w:spacing w:line="400" w:lineRule="exact"/>
              <w:rPr>
                <w:kern w:val="0"/>
                <w:sz w:val="24"/>
                <w:szCs w:val="24"/>
              </w:rPr>
            </w:pPr>
            <w:r>
              <w:rPr>
                <w:rFonts w:hint="eastAsia"/>
                <w:kern w:val="0"/>
                <w:sz w:val="24"/>
                <w:szCs w:val="24"/>
              </w:rPr>
              <w:t>10人以下：0分。</w:t>
            </w:r>
          </w:p>
        </w:tc>
        <w:tc>
          <w:tcPr>
            <w:tcW w:w="1143" w:type="dxa"/>
            <w:shd w:val="clear" w:color="auto" w:fill="auto"/>
            <w:vAlign w:val="center"/>
          </w:tcPr>
          <w:p>
            <w:pPr>
              <w:widowControl/>
              <w:jc w:val="center"/>
              <w:rPr>
                <w:kern w:val="0"/>
                <w:sz w:val="24"/>
                <w:szCs w:val="24"/>
              </w:rPr>
            </w:pPr>
            <w:r>
              <w:rPr>
                <w:rFonts w:hint="eastAsia"/>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6</w:t>
            </w:r>
          </w:p>
        </w:tc>
        <w:tc>
          <w:tcPr>
            <w:tcW w:w="1419" w:type="dxa"/>
            <w:shd w:val="clear" w:color="auto" w:fill="auto"/>
            <w:vAlign w:val="center"/>
          </w:tcPr>
          <w:p>
            <w:pPr>
              <w:widowControl/>
              <w:spacing w:line="400" w:lineRule="exact"/>
              <w:jc w:val="center"/>
              <w:rPr>
                <w:kern w:val="0"/>
                <w:sz w:val="24"/>
                <w:szCs w:val="24"/>
              </w:rPr>
            </w:pPr>
            <w:r>
              <w:rPr>
                <w:kern w:val="0"/>
                <w:sz w:val="24"/>
                <w:szCs w:val="24"/>
              </w:rPr>
              <w:t>理赔查勘车辆评价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提供拟投入本项目的理赔查勘车辆机动车行驶证扫描件，行驶证载明的所有人应为投标人或投标人所属法人企业。</w:t>
            </w:r>
          </w:p>
          <w:p>
            <w:pPr>
              <w:widowControl/>
              <w:spacing w:line="400" w:lineRule="exact"/>
              <w:rPr>
                <w:kern w:val="0"/>
                <w:sz w:val="24"/>
                <w:szCs w:val="24"/>
              </w:rPr>
            </w:pPr>
            <w:r>
              <w:rPr>
                <w:rFonts w:hint="eastAsia"/>
                <w:kern w:val="0"/>
                <w:sz w:val="24"/>
                <w:szCs w:val="24"/>
              </w:rPr>
              <w:t>投标人具备10辆满足以上要求的机动车得1分，在满足10辆基础上每增加5辆加1分（不足5辆的部分不加分），本项最高6分。</w:t>
            </w:r>
          </w:p>
        </w:tc>
        <w:tc>
          <w:tcPr>
            <w:tcW w:w="1143" w:type="dxa"/>
            <w:shd w:val="clear" w:color="auto" w:fill="auto"/>
            <w:vAlign w:val="center"/>
          </w:tcPr>
          <w:p>
            <w:pPr>
              <w:widowControl/>
              <w:jc w:val="center"/>
              <w:rPr>
                <w:kern w:val="0"/>
                <w:sz w:val="24"/>
                <w:szCs w:val="24"/>
              </w:rPr>
            </w:pPr>
            <w:r>
              <w:rPr>
                <w:rFonts w:hint="eastAsia"/>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393" w:type="dxa"/>
            <w:gridSpan w:val="3"/>
            <w:shd w:val="clear" w:color="auto" w:fill="auto"/>
            <w:noWrap/>
            <w:vAlign w:val="center"/>
          </w:tcPr>
          <w:p>
            <w:pPr>
              <w:widowControl/>
              <w:spacing w:line="400" w:lineRule="exact"/>
              <w:jc w:val="center"/>
              <w:rPr>
                <w:kern w:val="0"/>
                <w:sz w:val="24"/>
                <w:szCs w:val="24"/>
              </w:rPr>
            </w:pPr>
            <w:r>
              <w:rPr>
                <w:kern w:val="0"/>
                <w:sz w:val="24"/>
                <w:szCs w:val="24"/>
              </w:rPr>
              <w:t>第三部分主观分（</w:t>
            </w:r>
            <w:r>
              <w:rPr>
                <w:rFonts w:hint="eastAsia"/>
                <w:kern w:val="0"/>
                <w:sz w:val="24"/>
                <w:szCs w:val="24"/>
              </w:rPr>
              <w:t>24</w:t>
            </w:r>
            <w:r>
              <w:rPr>
                <w:kern w:val="0"/>
                <w:sz w:val="24"/>
                <w:szCs w:val="24"/>
              </w:rPr>
              <w:t>分）</w:t>
            </w:r>
          </w:p>
        </w:tc>
        <w:tc>
          <w:tcPr>
            <w:tcW w:w="1143" w:type="dxa"/>
            <w:shd w:val="clear" w:color="auto" w:fill="auto"/>
            <w:vAlign w:val="center"/>
          </w:tcPr>
          <w:p>
            <w:pPr>
              <w:widowControl/>
              <w:jc w:val="center"/>
              <w:rPr>
                <w:kern w:val="0"/>
                <w:sz w:val="24"/>
                <w:szCs w:val="24"/>
              </w:rPr>
            </w:pPr>
            <w:r>
              <w:rPr>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pPr>
              <w:widowControl/>
              <w:jc w:val="center"/>
              <w:rPr>
                <w:kern w:val="0"/>
                <w:sz w:val="24"/>
                <w:szCs w:val="24"/>
              </w:rPr>
            </w:pPr>
            <w:r>
              <w:rPr>
                <w:kern w:val="0"/>
                <w:sz w:val="24"/>
                <w:szCs w:val="24"/>
              </w:rPr>
              <w:t>1</w:t>
            </w:r>
          </w:p>
        </w:tc>
        <w:tc>
          <w:tcPr>
            <w:tcW w:w="1419" w:type="dxa"/>
            <w:shd w:val="clear" w:color="auto" w:fill="auto"/>
            <w:vAlign w:val="center"/>
          </w:tcPr>
          <w:p>
            <w:pPr>
              <w:widowControl/>
              <w:spacing w:line="400" w:lineRule="exact"/>
              <w:jc w:val="center"/>
              <w:rPr>
                <w:kern w:val="0"/>
                <w:sz w:val="24"/>
                <w:szCs w:val="24"/>
              </w:rPr>
            </w:pPr>
            <w:r>
              <w:rPr>
                <w:rFonts w:hint="eastAsia"/>
                <w:sz w:val="24"/>
              </w:rPr>
              <w:t>针对本项目特点的整体服务方案评价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投标人提供针对本项目特点的服务方案，只是列出承诺，而没有提供方案的，不得分。</w:t>
            </w:r>
          </w:p>
          <w:p>
            <w:pPr>
              <w:widowControl/>
              <w:spacing w:line="400" w:lineRule="exact"/>
              <w:rPr>
                <w:kern w:val="0"/>
                <w:sz w:val="24"/>
                <w:szCs w:val="24"/>
              </w:rPr>
            </w:pPr>
            <w:r>
              <w:rPr>
                <w:rFonts w:hint="eastAsia"/>
                <w:kern w:val="0"/>
                <w:sz w:val="24"/>
                <w:szCs w:val="24"/>
              </w:rPr>
              <w:t>（</w:t>
            </w:r>
            <w:r>
              <w:rPr>
                <w:rFonts w:hint="eastAsia"/>
                <w:kern w:val="0"/>
                <w:sz w:val="24"/>
                <w:szCs w:val="24"/>
                <w:lang w:val="en-US" w:eastAsia="zh-CN"/>
              </w:rPr>
              <w:t>1</w:t>
            </w:r>
            <w:r>
              <w:rPr>
                <w:rFonts w:hint="eastAsia"/>
                <w:kern w:val="0"/>
                <w:sz w:val="24"/>
                <w:szCs w:val="24"/>
              </w:rPr>
              <w:t>）投标方案中体现并满足</w:t>
            </w:r>
            <w:r>
              <w:rPr>
                <w:bCs/>
                <w:sz w:val="24"/>
              </w:rPr>
              <w:t>技术要求</w:t>
            </w:r>
            <w:r>
              <w:rPr>
                <w:rFonts w:hint="eastAsia"/>
                <w:kern w:val="0"/>
                <w:sz w:val="24"/>
                <w:szCs w:val="24"/>
              </w:rPr>
              <w:t>“承保基本服务承诺”中任意一项要求的得2分，最多4分；</w:t>
            </w:r>
          </w:p>
          <w:p>
            <w:pPr>
              <w:widowControl/>
              <w:spacing w:line="400" w:lineRule="exact"/>
              <w:rPr>
                <w:kern w:val="0"/>
                <w:sz w:val="24"/>
                <w:szCs w:val="24"/>
              </w:rPr>
            </w:pPr>
            <w:r>
              <w:rPr>
                <w:rFonts w:hint="eastAsia"/>
                <w:kern w:val="0"/>
                <w:sz w:val="24"/>
                <w:szCs w:val="24"/>
              </w:rPr>
              <w:t>（</w:t>
            </w:r>
            <w:r>
              <w:rPr>
                <w:rFonts w:hint="eastAsia"/>
                <w:kern w:val="0"/>
                <w:sz w:val="24"/>
                <w:szCs w:val="24"/>
                <w:lang w:val="en-US" w:eastAsia="zh-CN"/>
              </w:rPr>
              <w:t>2</w:t>
            </w:r>
            <w:r>
              <w:rPr>
                <w:rFonts w:hint="eastAsia"/>
                <w:kern w:val="0"/>
                <w:sz w:val="24"/>
                <w:szCs w:val="24"/>
              </w:rPr>
              <w:t>）投标方案中体现并满足</w:t>
            </w:r>
            <w:r>
              <w:rPr>
                <w:bCs/>
                <w:sz w:val="24"/>
              </w:rPr>
              <w:t>技术要求</w:t>
            </w:r>
            <w:r>
              <w:rPr>
                <w:rFonts w:hint="eastAsia"/>
                <w:kern w:val="0"/>
                <w:sz w:val="24"/>
                <w:szCs w:val="24"/>
              </w:rPr>
              <w:t>“理赔基本服务承诺”中“理赔指导”、“快速查勘定损”、“承修质量保证”任意一项要求的得2分，最多</w:t>
            </w:r>
            <w:r>
              <w:rPr>
                <w:rFonts w:hint="eastAsia"/>
                <w:kern w:val="0"/>
                <w:sz w:val="24"/>
                <w:szCs w:val="24"/>
                <w:lang w:val="en-US" w:eastAsia="zh-CN"/>
              </w:rPr>
              <w:t>6</w:t>
            </w:r>
            <w:r>
              <w:rPr>
                <w:rFonts w:hint="eastAsia"/>
                <w:kern w:val="0"/>
                <w:sz w:val="24"/>
                <w:szCs w:val="24"/>
              </w:rPr>
              <w:t>分；</w:t>
            </w:r>
          </w:p>
          <w:p>
            <w:pPr>
              <w:widowControl/>
              <w:spacing w:line="400" w:lineRule="exact"/>
              <w:rPr>
                <w:kern w:val="0"/>
                <w:sz w:val="24"/>
                <w:szCs w:val="24"/>
              </w:rPr>
            </w:pPr>
            <w:r>
              <w:rPr>
                <w:rFonts w:hint="eastAsia"/>
                <w:kern w:val="0"/>
                <w:sz w:val="24"/>
                <w:szCs w:val="24"/>
              </w:rPr>
              <w:t>（</w:t>
            </w:r>
            <w:r>
              <w:rPr>
                <w:rFonts w:hint="eastAsia"/>
                <w:kern w:val="0"/>
                <w:sz w:val="24"/>
                <w:szCs w:val="24"/>
                <w:lang w:val="en-US" w:eastAsia="zh-CN"/>
              </w:rPr>
              <w:t>3</w:t>
            </w:r>
            <w:r>
              <w:rPr>
                <w:rFonts w:hint="eastAsia"/>
                <w:kern w:val="0"/>
                <w:sz w:val="24"/>
                <w:szCs w:val="24"/>
              </w:rPr>
              <w:t>）投标方案中体现并满足</w:t>
            </w:r>
            <w:r>
              <w:rPr>
                <w:bCs/>
                <w:sz w:val="24"/>
              </w:rPr>
              <w:t>技术要求</w:t>
            </w:r>
            <w:r>
              <w:rPr>
                <w:rFonts w:hint="eastAsia"/>
                <w:kern w:val="0"/>
                <w:sz w:val="24"/>
                <w:szCs w:val="24"/>
              </w:rPr>
              <w:t>“理赔服务时限”中“现场查勘时限”、“赔付时限”任意一项要求的得2分，最多4分。</w:t>
            </w:r>
          </w:p>
          <w:p>
            <w:pPr>
              <w:widowControl/>
              <w:spacing w:line="400" w:lineRule="exact"/>
              <w:rPr>
                <w:color w:val="auto"/>
                <w:kern w:val="0"/>
                <w:sz w:val="24"/>
                <w:szCs w:val="24"/>
              </w:rPr>
            </w:pPr>
            <w:r>
              <w:rPr>
                <w:rFonts w:hint="eastAsia"/>
                <w:kern w:val="0"/>
                <w:sz w:val="24"/>
                <w:szCs w:val="24"/>
              </w:rPr>
              <w:t>（</w:t>
            </w:r>
            <w:r>
              <w:rPr>
                <w:rFonts w:hint="eastAsia"/>
                <w:kern w:val="0"/>
                <w:sz w:val="24"/>
                <w:szCs w:val="24"/>
                <w:lang w:val="en-US" w:eastAsia="zh-CN"/>
              </w:rPr>
              <w:t>4</w:t>
            </w:r>
            <w:r>
              <w:rPr>
                <w:rFonts w:hint="eastAsia"/>
                <w:kern w:val="0"/>
                <w:sz w:val="24"/>
                <w:szCs w:val="24"/>
              </w:rPr>
              <w:t>）投标方案中体现并满足</w:t>
            </w:r>
            <w:r>
              <w:rPr>
                <w:bCs/>
                <w:sz w:val="24"/>
              </w:rPr>
              <w:t>技术要求</w:t>
            </w:r>
            <w:r>
              <w:rPr>
                <w:rFonts w:hint="eastAsia"/>
                <w:kern w:val="0"/>
                <w:sz w:val="24"/>
                <w:szCs w:val="24"/>
              </w:rPr>
              <w:t>“小额一般事</w:t>
            </w:r>
            <w:r>
              <w:rPr>
                <w:rFonts w:hint="eastAsia"/>
                <w:kern w:val="0"/>
                <w:sz w:val="24"/>
                <w:szCs w:val="24"/>
                <w:highlight w:val="none"/>
              </w:rPr>
              <w:t>故”、“理赔手续”、</w:t>
            </w:r>
            <w:r>
              <w:rPr>
                <w:rFonts w:hint="eastAsia"/>
                <w:kern w:val="0"/>
                <w:sz w:val="24"/>
                <w:szCs w:val="24"/>
              </w:rPr>
              <w:t>“</w:t>
            </w:r>
            <w:r>
              <w:rPr>
                <w:rFonts w:hint="eastAsia"/>
                <w:color w:val="auto"/>
                <w:kern w:val="0"/>
                <w:sz w:val="24"/>
                <w:szCs w:val="24"/>
              </w:rPr>
              <w:t>应急服务措施”任意一项要求的得</w:t>
            </w:r>
            <w:r>
              <w:rPr>
                <w:rFonts w:hint="eastAsia"/>
                <w:color w:val="auto"/>
                <w:kern w:val="0"/>
                <w:sz w:val="24"/>
                <w:szCs w:val="24"/>
                <w:lang w:val="en-US" w:eastAsia="zh-CN"/>
              </w:rPr>
              <w:t>2</w:t>
            </w:r>
            <w:r>
              <w:rPr>
                <w:rFonts w:hint="eastAsia"/>
                <w:color w:val="auto"/>
                <w:kern w:val="0"/>
                <w:sz w:val="24"/>
                <w:szCs w:val="24"/>
              </w:rPr>
              <w:t>分，最多</w:t>
            </w:r>
            <w:r>
              <w:rPr>
                <w:rFonts w:hint="eastAsia"/>
                <w:color w:val="auto"/>
                <w:kern w:val="0"/>
                <w:sz w:val="24"/>
                <w:szCs w:val="24"/>
                <w:lang w:val="en-US" w:eastAsia="zh-CN"/>
              </w:rPr>
              <w:t>6</w:t>
            </w:r>
            <w:r>
              <w:rPr>
                <w:rFonts w:hint="eastAsia"/>
                <w:color w:val="auto"/>
                <w:kern w:val="0"/>
                <w:sz w:val="24"/>
                <w:szCs w:val="24"/>
              </w:rPr>
              <w:t>分；</w:t>
            </w:r>
          </w:p>
          <w:p>
            <w:pPr>
              <w:widowControl/>
              <w:spacing w:line="400" w:lineRule="exact"/>
              <w:rPr>
                <w:color w:val="FF0000"/>
                <w:kern w:val="0"/>
                <w:sz w:val="24"/>
                <w:szCs w:val="24"/>
              </w:rPr>
            </w:pPr>
            <w:r>
              <w:rPr>
                <w:rFonts w:hint="eastAsia"/>
                <w:color w:val="auto"/>
                <w:kern w:val="0"/>
                <w:sz w:val="24"/>
                <w:szCs w:val="24"/>
              </w:rPr>
              <w:t>（</w:t>
            </w:r>
            <w:r>
              <w:rPr>
                <w:rFonts w:hint="eastAsia"/>
                <w:color w:val="auto"/>
                <w:kern w:val="0"/>
                <w:sz w:val="24"/>
                <w:szCs w:val="24"/>
                <w:lang w:val="en-US" w:eastAsia="zh-CN"/>
              </w:rPr>
              <w:t>5</w:t>
            </w:r>
            <w:r>
              <w:rPr>
                <w:rFonts w:hint="eastAsia"/>
                <w:color w:val="auto"/>
                <w:kern w:val="0"/>
                <w:sz w:val="24"/>
                <w:szCs w:val="24"/>
              </w:rPr>
              <w:t>）投标方案中体现并满足项目需求书“其他要求”的：</w:t>
            </w:r>
            <w:r>
              <w:rPr>
                <w:rFonts w:hint="eastAsia"/>
                <w:color w:val="auto"/>
                <w:kern w:val="0"/>
                <w:sz w:val="24"/>
                <w:szCs w:val="24"/>
                <w:lang w:val="en-US" w:eastAsia="zh-CN"/>
              </w:rPr>
              <w:t>2</w:t>
            </w:r>
            <w:r>
              <w:rPr>
                <w:rFonts w:hint="eastAsia"/>
                <w:color w:val="auto"/>
                <w:kern w:val="0"/>
                <w:sz w:val="24"/>
                <w:szCs w:val="24"/>
              </w:rPr>
              <w:t>分，其他0分。</w:t>
            </w:r>
          </w:p>
        </w:tc>
        <w:tc>
          <w:tcPr>
            <w:tcW w:w="1143" w:type="dxa"/>
            <w:shd w:val="clear" w:color="auto" w:fill="auto"/>
            <w:vAlign w:val="center"/>
          </w:tcPr>
          <w:p>
            <w:pPr>
              <w:widowControl/>
              <w:jc w:val="center"/>
              <w:rPr>
                <w:kern w:val="0"/>
                <w:sz w:val="24"/>
                <w:szCs w:val="24"/>
              </w:rPr>
            </w:pPr>
            <w:r>
              <w:rPr>
                <w:rFonts w:hint="eastAsia"/>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jc w:val="center"/>
              <w:rPr>
                <w:kern w:val="0"/>
                <w:sz w:val="24"/>
                <w:szCs w:val="24"/>
              </w:rPr>
            </w:pPr>
            <w:r>
              <w:rPr>
                <w:kern w:val="0"/>
                <w:sz w:val="24"/>
                <w:szCs w:val="24"/>
              </w:rPr>
              <w:t>2</w:t>
            </w:r>
          </w:p>
        </w:tc>
        <w:tc>
          <w:tcPr>
            <w:tcW w:w="1419" w:type="dxa"/>
            <w:shd w:val="clear" w:color="auto" w:fill="auto"/>
            <w:vAlign w:val="center"/>
          </w:tcPr>
          <w:p>
            <w:pPr>
              <w:widowControl/>
              <w:spacing w:line="400" w:lineRule="exact"/>
              <w:jc w:val="center"/>
              <w:rPr>
                <w:kern w:val="0"/>
                <w:sz w:val="24"/>
                <w:szCs w:val="24"/>
              </w:rPr>
            </w:pPr>
            <w:r>
              <w:rPr>
                <w:rFonts w:hint="eastAsia"/>
                <w:sz w:val="24"/>
              </w:rPr>
              <w:t>价格合理性评价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由评标委员会根据行业规定、交易习惯、项目特点进行合理性评价</w:t>
            </w:r>
          </w:p>
          <w:p>
            <w:pPr>
              <w:widowControl/>
              <w:spacing w:line="400" w:lineRule="exact"/>
              <w:rPr>
                <w:kern w:val="0"/>
                <w:sz w:val="24"/>
                <w:szCs w:val="24"/>
                <w:highlight w:val="none"/>
              </w:rPr>
            </w:pPr>
            <w:r>
              <w:rPr>
                <w:rFonts w:hint="eastAsia"/>
                <w:kern w:val="0"/>
                <w:sz w:val="24"/>
                <w:szCs w:val="24"/>
                <w:highlight w:val="none"/>
              </w:rPr>
              <w:t>报价科学合理：2分；</w:t>
            </w:r>
          </w:p>
          <w:p>
            <w:pPr>
              <w:widowControl/>
              <w:spacing w:line="400" w:lineRule="exact"/>
              <w:rPr>
                <w:rFonts w:hint="eastAsia"/>
                <w:kern w:val="0"/>
                <w:sz w:val="24"/>
                <w:szCs w:val="24"/>
                <w:highlight w:val="none"/>
              </w:rPr>
            </w:pPr>
            <w:r>
              <w:rPr>
                <w:rFonts w:hint="eastAsia"/>
                <w:kern w:val="0"/>
                <w:sz w:val="24"/>
                <w:szCs w:val="24"/>
                <w:highlight w:val="none"/>
              </w:rPr>
              <w:t>报价合理性方面存在1处瑕疵：</w:t>
            </w:r>
            <w:r>
              <w:rPr>
                <w:rFonts w:hint="eastAsia"/>
                <w:kern w:val="0"/>
                <w:sz w:val="24"/>
                <w:szCs w:val="24"/>
                <w:highlight w:val="none"/>
                <w:lang w:val="en-US" w:eastAsia="zh-CN"/>
              </w:rPr>
              <w:t>1</w:t>
            </w:r>
            <w:r>
              <w:rPr>
                <w:rFonts w:hint="eastAsia"/>
                <w:kern w:val="0"/>
                <w:sz w:val="24"/>
                <w:szCs w:val="24"/>
                <w:highlight w:val="none"/>
              </w:rPr>
              <w:t>分；</w:t>
            </w:r>
          </w:p>
          <w:p>
            <w:pPr>
              <w:widowControl/>
              <w:spacing w:line="400" w:lineRule="exact"/>
              <w:rPr>
                <w:kern w:val="0"/>
                <w:sz w:val="24"/>
                <w:szCs w:val="24"/>
              </w:rPr>
            </w:pPr>
            <w:r>
              <w:rPr>
                <w:rFonts w:hint="eastAsia"/>
                <w:kern w:val="0"/>
                <w:sz w:val="24"/>
                <w:szCs w:val="24"/>
                <w:highlight w:val="none"/>
              </w:rPr>
              <w:t>未提供</w:t>
            </w:r>
            <w:r>
              <w:rPr>
                <w:rFonts w:hint="eastAsia"/>
                <w:kern w:val="0"/>
                <w:sz w:val="24"/>
                <w:szCs w:val="24"/>
                <w:highlight w:val="none"/>
                <w:lang w:eastAsia="zh-CN"/>
              </w:rPr>
              <w:t>合理报价</w:t>
            </w:r>
            <w:r>
              <w:rPr>
                <w:rFonts w:hint="eastAsia"/>
                <w:kern w:val="0"/>
                <w:sz w:val="24"/>
                <w:szCs w:val="24"/>
                <w:highlight w:val="none"/>
              </w:rPr>
              <w:t>或</w:t>
            </w:r>
            <w:r>
              <w:rPr>
                <w:rFonts w:hint="eastAsia"/>
                <w:kern w:val="0"/>
                <w:sz w:val="24"/>
                <w:szCs w:val="24"/>
                <w:highlight w:val="none"/>
                <w:lang w:eastAsia="zh-CN"/>
              </w:rPr>
              <w:t>报价</w:t>
            </w:r>
            <w:r>
              <w:rPr>
                <w:rFonts w:hint="eastAsia"/>
                <w:kern w:val="0"/>
                <w:sz w:val="24"/>
                <w:szCs w:val="24"/>
                <w:highlight w:val="none"/>
              </w:rPr>
              <w:t>存在</w:t>
            </w:r>
            <w:r>
              <w:rPr>
                <w:rFonts w:hint="eastAsia"/>
                <w:kern w:val="0"/>
                <w:sz w:val="24"/>
                <w:szCs w:val="24"/>
                <w:highlight w:val="none"/>
                <w:lang w:val="en-US" w:eastAsia="zh-CN"/>
              </w:rPr>
              <w:t>2</w:t>
            </w:r>
            <w:r>
              <w:rPr>
                <w:rFonts w:hint="eastAsia"/>
                <w:kern w:val="0"/>
                <w:sz w:val="24"/>
                <w:szCs w:val="24"/>
                <w:highlight w:val="none"/>
              </w:rPr>
              <w:t>处及以上瑕疵：0分。</w:t>
            </w:r>
          </w:p>
        </w:tc>
        <w:tc>
          <w:tcPr>
            <w:tcW w:w="1143" w:type="dxa"/>
            <w:shd w:val="clear" w:color="auto" w:fill="auto"/>
            <w:vAlign w:val="center"/>
          </w:tcPr>
          <w:p>
            <w:pPr>
              <w:widowControl/>
              <w:jc w:val="center"/>
              <w:rPr>
                <w:kern w:val="0"/>
                <w:sz w:val="24"/>
                <w:szCs w:val="24"/>
              </w:rPr>
            </w:pPr>
            <w:r>
              <w:rPr>
                <w:rFonts w:hint="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393" w:type="dxa"/>
            <w:gridSpan w:val="3"/>
            <w:shd w:val="clear" w:color="auto" w:fill="auto"/>
            <w:noWrap/>
            <w:vAlign w:val="center"/>
          </w:tcPr>
          <w:p>
            <w:pPr>
              <w:widowControl/>
              <w:spacing w:line="400" w:lineRule="exact"/>
              <w:jc w:val="center"/>
              <w:rPr>
                <w:sz w:val="24"/>
              </w:rPr>
            </w:pPr>
            <w:r>
              <w:rPr>
                <w:sz w:val="24"/>
              </w:rPr>
              <w:t>合计</w:t>
            </w:r>
          </w:p>
        </w:tc>
        <w:tc>
          <w:tcPr>
            <w:tcW w:w="1143" w:type="dxa"/>
            <w:shd w:val="clear" w:color="auto" w:fill="auto"/>
            <w:vAlign w:val="center"/>
          </w:tcPr>
          <w:p>
            <w:pPr>
              <w:widowControl/>
              <w:jc w:val="center"/>
              <w:rPr>
                <w:kern w:val="0"/>
                <w:sz w:val="24"/>
                <w:szCs w:val="24"/>
              </w:rPr>
            </w:pPr>
            <w:r>
              <w:rPr>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536" w:type="dxa"/>
            <w:gridSpan w:val="4"/>
            <w:shd w:val="clear" w:color="auto" w:fill="auto"/>
            <w:noWrap/>
            <w:vAlign w:val="center"/>
          </w:tcPr>
          <w:p>
            <w:pPr>
              <w:widowControl/>
              <w:rPr>
                <w:kern w:val="0"/>
                <w:sz w:val="24"/>
                <w:szCs w:val="24"/>
              </w:rPr>
            </w:pPr>
            <w:r>
              <w:rPr>
                <w:rFonts w:hint="eastAsia"/>
                <w:b/>
                <w:bCs/>
                <w:color w:val="000000"/>
                <w:kern w:val="0"/>
                <w:sz w:val="24"/>
                <w:szCs w:val="24"/>
              </w:rPr>
              <w:t>注：</w:t>
            </w:r>
            <w:r>
              <w:rPr>
                <w:rFonts w:hint="eastAsia"/>
                <w:b/>
                <w:bCs/>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r>
    </w:tbl>
    <w:p>
      <w:pPr>
        <w:spacing w:line="360" w:lineRule="auto"/>
        <w:ind w:firstLine="448" w:firstLineChars="200"/>
        <w:outlineLvl w:val="0"/>
        <w:rPr>
          <w:sz w:val="24"/>
        </w:rPr>
      </w:pPr>
    </w:p>
    <w:p>
      <w:pPr>
        <w:spacing w:line="360" w:lineRule="auto"/>
        <w:ind w:firstLine="448" w:firstLineChars="200"/>
        <w:outlineLvl w:val="0"/>
        <w:rPr>
          <w:sz w:val="24"/>
        </w:rPr>
      </w:pPr>
    </w:p>
    <w:p>
      <w:pPr>
        <w:spacing w:line="360" w:lineRule="auto"/>
        <w:jc w:val="center"/>
        <w:rPr>
          <w:sz w:val="24"/>
        </w:rPr>
      </w:pPr>
      <w:r>
        <w:rPr>
          <w:sz w:val="24"/>
          <w:u w:val="single"/>
        </w:rPr>
        <w:br w:type="page"/>
      </w:r>
    </w:p>
    <w:p>
      <w:pPr>
        <w:pStyle w:val="18"/>
        <w:rPr>
          <w:rFonts w:ascii="Times New Roman" w:hAnsi="Times New Roman" w:cs="Times New Roman"/>
        </w:rPr>
      </w:pPr>
      <w:r>
        <w:rPr>
          <w:rFonts w:ascii="Times New Roman" w:hAnsi="Times New Roman" w:cs="Times New Roman"/>
        </w:rPr>
        <w:t>项目需求书</w:t>
      </w:r>
    </w:p>
    <w:p>
      <w:pPr>
        <w:pStyle w:val="36"/>
        <w:numPr>
          <w:ilvl w:val="0"/>
          <w:numId w:val="3"/>
        </w:numPr>
        <w:spacing w:line="360" w:lineRule="auto"/>
        <w:ind w:firstLineChars="0"/>
        <w:rPr>
          <w:rFonts w:hint="eastAsia" w:ascii="Times New Roman" w:hAnsi="Times New Roman" w:cs="Times New Roman"/>
          <w:b/>
          <w:sz w:val="24"/>
          <w:szCs w:val="24"/>
        </w:rPr>
      </w:pPr>
      <w:r>
        <w:rPr>
          <w:rFonts w:ascii="Times New Roman" w:hAnsi="Times New Roman" w:cs="Times New Roman"/>
          <w:b/>
          <w:sz w:val="24"/>
          <w:szCs w:val="24"/>
        </w:rPr>
        <w:t>项目背景</w:t>
      </w:r>
    </w:p>
    <w:p>
      <w:pPr>
        <w:keepNext w:val="0"/>
        <w:keepLines w:val="0"/>
        <w:pageBreakBefore w:val="0"/>
        <w:widowControl/>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本项目为</w:t>
      </w:r>
      <w:r>
        <w:rPr>
          <w:sz w:val="24"/>
        </w:rPr>
        <w:t>天津市滨海新区</w:t>
      </w:r>
      <w:r>
        <w:rPr>
          <w:rFonts w:hint="eastAsia"/>
          <w:sz w:val="24"/>
        </w:rPr>
        <w:t>公安局车辆保险服务项目，投保车辆数为</w:t>
      </w:r>
      <w:r>
        <w:rPr>
          <w:rFonts w:hint="eastAsia"/>
          <w:sz w:val="24"/>
          <w:lang w:val="en-US" w:eastAsia="zh-CN"/>
        </w:rPr>
        <w:t>750</w:t>
      </w:r>
      <w:r>
        <w:rPr>
          <w:rFonts w:hint="eastAsia"/>
          <w:sz w:val="24"/>
        </w:rPr>
        <w:t>辆，投保险种为：机动车交通事故</w:t>
      </w:r>
      <w:r>
        <w:rPr>
          <w:sz w:val="24"/>
        </w:rPr>
        <w:t>责任强制保险保险费</w:t>
      </w:r>
      <w:r>
        <w:rPr>
          <w:rFonts w:hint="eastAsia"/>
          <w:sz w:val="24"/>
        </w:rPr>
        <w:t>、机动车商业保险</w:t>
      </w:r>
      <w:r>
        <w:rPr>
          <w:sz w:val="24"/>
        </w:rPr>
        <w:t>（</w:t>
      </w:r>
      <w:r>
        <w:rPr>
          <w:rFonts w:hint="eastAsia"/>
          <w:sz w:val="24"/>
        </w:rPr>
        <w:t>第三者</w:t>
      </w:r>
      <w:r>
        <w:rPr>
          <w:sz w:val="24"/>
        </w:rPr>
        <w:t>责任险</w:t>
      </w:r>
      <w:r>
        <w:rPr>
          <w:rFonts w:hint="eastAsia"/>
          <w:sz w:val="24"/>
        </w:rPr>
        <w:t>200万</w:t>
      </w:r>
      <w:r>
        <w:rPr>
          <w:sz w:val="24"/>
        </w:rPr>
        <w:t>元、机动车损失险）</w:t>
      </w:r>
      <w:r>
        <w:rPr>
          <w:rFonts w:hint="eastAsia"/>
          <w:sz w:val="24"/>
        </w:rPr>
        <w:t>保险</w:t>
      </w:r>
      <w:r>
        <w:rPr>
          <w:sz w:val="24"/>
        </w:rPr>
        <w:t>费</w:t>
      </w:r>
      <w:r>
        <w:rPr>
          <w:rFonts w:hint="eastAsia"/>
          <w:sz w:val="24"/>
        </w:rPr>
        <w:t>、</w:t>
      </w:r>
      <w:r>
        <w:rPr>
          <w:rFonts w:hint="eastAsia"/>
          <w:sz w:val="24"/>
          <w:lang w:eastAsia="zh-CN"/>
        </w:rPr>
        <w:t>车上人员责任险（司机、乘客每人</w:t>
      </w:r>
      <w:r>
        <w:rPr>
          <w:rFonts w:hint="eastAsia"/>
          <w:sz w:val="24"/>
          <w:lang w:val="en-US" w:eastAsia="zh-CN"/>
        </w:rPr>
        <w:t>5万元</w:t>
      </w:r>
      <w:r>
        <w:rPr>
          <w:rFonts w:hint="eastAsia"/>
          <w:sz w:val="24"/>
          <w:lang w:eastAsia="zh-CN"/>
        </w:rPr>
        <w:t>）</w:t>
      </w:r>
      <w:r>
        <w:rPr>
          <w:sz w:val="24"/>
        </w:rPr>
        <w:t>上</w:t>
      </w:r>
      <w:r>
        <w:rPr>
          <w:rFonts w:hint="eastAsia"/>
          <w:sz w:val="24"/>
        </w:rPr>
        <w:t>述</w:t>
      </w:r>
      <w:r>
        <w:rPr>
          <w:sz w:val="24"/>
        </w:rPr>
        <w:t>机动车商业险</w:t>
      </w:r>
      <w:r>
        <w:rPr>
          <w:rFonts w:hint="eastAsia"/>
          <w:sz w:val="24"/>
        </w:rPr>
        <w:t>不计免赔率</w:t>
      </w:r>
      <w:r>
        <w:rPr>
          <w:sz w:val="24"/>
        </w:rPr>
        <w:t>附加险保险等</w:t>
      </w:r>
      <w:r>
        <w:rPr>
          <w:rFonts w:hint="eastAsia"/>
          <w:sz w:val="24"/>
        </w:rPr>
        <w:t>。本项目属于租赁和商务服务业。</w:t>
      </w:r>
    </w:p>
    <w:p>
      <w:pPr>
        <w:keepNext w:val="0"/>
        <w:keepLines w:val="0"/>
        <w:pageBreakBefore w:val="0"/>
        <w:widowControl/>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lang w:eastAsia="zh-CN"/>
        </w:rPr>
        <w:t>拟选择合适的保险供应商，以提供优质、全面的保险保障</w:t>
      </w:r>
      <w:r>
        <w:rPr>
          <w:rFonts w:hint="eastAsia"/>
          <w:sz w:val="24"/>
        </w:rPr>
        <w:t>。</w:t>
      </w:r>
    </w:p>
    <w:p>
      <w:pPr>
        <w:numPr>
          <w:ilvl w:val="0"/>
          <w:numId w:val="0"/>
        </w:numPr>
        <w:spacing w:line="360" w:lineRule="auto"/>
        <w:ind w:firstLine="448" w:firstLineChars="200"/>
        <w:rPr>
          <w:rFonts w:hint="eastAsia" w:ascii="Times New Roman" w:hAnsi="Times New Roman" w:cs="Times New Roman"/>
          <w:b/>
          <w:sz w:val="24"/>
          <w:szCs w:val="24"/>
        </w:rPr>
      </w:pPr>
      <w:r>
        <w:rPr>
          <w:rFonts w:hint="eastAsia" w:cs="Times New Roman"/>
          <w:b/>
          <w:sz w:val="24"/>
          <w:szCs w:val="24"/>
          <w:lang w:eastAsia="zh-CN"/>
        </w:rPr>
        <w:t>二、</w:t>
      </w:r>
      <w:r>
        <w:rPr>
          <w:rFonts w:hint="eastAsia" w:ascii="Times New Roman" w:hAnsi="Times New Roman" w:cs="Times New Roman"/>
          <w:b/>
          <w:sz w:val="24"/>
          <w:szCs w:val="24"/>
        </w:rPr>
        <w:t>其他要求</w:t>
      </w:r>
    </w:p>
    <w:p>
      <w:pPr>
        <w:pStyle w:val="31"/>
        <w:numPr>
          <w:ilvl w:val="0"/>
          <w:numId w:val="4"/>
        </w:numPr>
        <w:spacing w:line="500" w:lineRule="exact"/>
        <w:ind w:firstLine="448" w:firstLineChars="200"/>
        <w:rPr>
          <w:rFonts w:ascii="宋体" w:hAnsi="宋体" w:eastAsia="宋体" w:cs="宋体"/>
        </w:rPr>
      </w:pPr>
      <w:r>
        <w:rPr>
          <w:rFonts w:hint="eastAsia" w:ascii="宋体" w:hAnsi="宋体" w:eastAsia="宋体" w:cs="宋体"/>
          <w:color w:val="auto"/>
        </w:rPr>
        <w:t>供应商递交的投标文件内容须真实有效，如出现</w:t>
      </w:r>
      <w:r>
        <w:rPr>
          <w:rFonts w:hint="eastAsia" w:ascii="宋体" w:hAnsi="宋体" w:eastAsia="宋体" w:cs="宋体"/>
        </w:rPr>
        <w:t>虚假应标的情况则按照《中华人民共和国政府采购法》第七十七条执行。</w:t>
      </w:r>
    </w:p>
    <w:p>
      <w:pPr>
        <w:pStyle w:val="31"/>
        <w:numPr>
          <w:ilvl w:val="0"/>
          <w:numId w:val="4"/>
        </w:numPr>
        <w:spacing w:line="500" w:lineRule="exact"/>
        <w:ind w:firstLine="448" w:firstLineChars="200"/>
        <w:rPr>
          <w:rFonts w:ascii="宋体" w:hAnsi="宋体" w:eastAsia="宋体" w:cs="宋体"/>
        </w:rPr>
      </w:pPr>
      <w:r>
        <w:rPr>
          <w:rFonts w:hint="eastAsia" w:ascii="宋体" w:hAnsi="宋体" w:eastAsia="宋体" w:cs="宋体"/>
        </w:rPr>
        <w:t>服务期内如出现不可抗力因素，供应商须上报采购人，由采购人决定处理方法后方可进行处理。</w:t>
      </w:r>
    </w:p>
    <w:p>
      <w:pPr>
        <w:pStyle w:val="31"/>
        <w:spacing w:line="500" w:lineRule="exact"/>
        <w:ind w:firstLine="448" w:firstLineChars="200"/>
        <w:rPr>
          <w:rFonts w:ascii="宋体" w:hAnsi="宋体" w:eastAsia="宋体" w:cs="宋体"/>
        </w:rPr>
      </w:pPr>
      <w:r>
        <w:rPr>
          <w:rFonts w:hint="eastAsia" w:ascii="宋体" w:hAnsi="宋体" w:eastAsia="宋体" w:cs="宋体"/>
        </w:rPr>
        <w:t>★3、供应商按季度出保单，出保单前必须与采购人核实承保车辆信息。</w:t>
      </w:r>
    </w:p>
    <w:p>
      <w:pPr>
        <w:pStyle w:val="31"/>
        <w:spacing w:line="500" w:lineRule="exact"/>
        <w:ind w:firstLine="448" w:firstLineChars="200"/>
        <w:rPr>
          <w:rFonts w:ascii="宋体" w:hAnsi="宋体" w:eastAsia="宋体" w:cs="宋体"/>
        </w:rPr>
      </w:pPr>
      <w:r>
        <w:rPr>
          <w:rFonts w:hint="eastAsia" w:ascii="宋体" w:hAnsi="宋体" w:eastAsia="宋体" w:cs="宋体"/>
        </w:rPr>
        <w:t>★4、每季度末后5个工作日内须向采购人报送承保车辆出单明细，作为采购人付款凭证。</w:t>
      </w:r>
    </w:p>
    <w:p>
      <w:pPr>
        <w:pStyle w:val="31"/>
        <w:spacing w:line="500" w:lineRule="exact"/>
        <w:ind w:firstLine="448" w:firstLineChars="200"/>
        <w:rPr>
          <w:rFonts w:ascii="宋体" w:hAnsi="宋体" w:eastAsia="宋体" w:cs="宋体"/>
        </w:rPr>
      </w:pPr>
      <w:r>
        <w:rPr>
          <w:rFonts w:hint="eastAsia" w:ascii="宋体" w:hAnsi="宋体" w:eastAsia="宋体" w:cs="宋体"/>
        </w:rPr>
        <w:t>★5、保密要求：中标后须签订保密承诺书，不得将被保险车辆信息向外界透露，不得将为公安局车辆提供保险服务的名义对外宣传或进行商业推广。</w:t>
      </w:r>
    </w:p>
    <w:p>
      <w:pPr>
        <w:pStyle w:val="31"/>
        <w:numPr>
          <w:ilvl w:val="0"/>
          <w:numId w:val="5"/>
        </w:numPr>
        <w:spacing w:line="500" w:lineRule="exact"/>
        <w:ind w:firstLine="448" w:firstLineChars="200"/>
        <w:rPr>
          <w:rFonts w:hint="eastAsia" w:ascii="宋体" w:hAnsi="宋体" w:eastAsia="宋体" w:cs="宋体"/>
        </w:rPr>
      </w:pPr>
      <w:r>
        <w:rPr>
          <w:rFonts w:hint="eastAsia" w:ascii="宋体" w:hAnsi="宋体" w:eastAsia="宋体" w:cs="宋体"/>
        </w:rPr>
        <w:t>供应商应针对本项目设立提供专业的服务专员，提高服务质量、积极快速响应。采购人会每季度对供应商进行考核，根据采购人要求执行惩戒措施。</w:t>
      </w:r>
    </w:p>
    <w:p>
      <w:pPr>
        <w:pStyle w:val="31"/>
        <w:numPr>
          <w:ilvl w:val="0"/>
          <w:numId w:val="5"/>
        </w:numPr>
        <w:spacing w:line="500" w:lineRule="exact"/>
        <w:ind w:firstLine="448" w:firstLineChars="200"/>
        <w:rPr>
          <w:rFonts w:hint="eastAsia" w:ascii="宋体" w:hAnsi="宋体" w:eastAsia="宋体" w:cs="宋体"/>
          <w:color w:val="auto"/>
        </w:rPr>
      </w:pPr>
      <w:r>
        <w:rPr>
          <w:rFonts w:hint="eastAsia" w:ascii="宋体" w:hAnsi="宋体" w:eastAsia="宋体" w:cs="宋体"/>
          <w:color w:val="auto"/>
          <w:lang w:eastAsia="zh-CN"/>
        </w:rPr>
        <w:t>采购人地方牌照车辆年度车船税，由供应商在交强险内代为缴纳，另行结算，不计入保险招标金额。</w:t>
      </w:r>
    </w:p>
    <w:p>
      <w:pPr>
        <w:spacing w:line="500" w:lineRule="exact"/>
        <w:ind w:firstLine="448"/>
        <w:jc w:val="left"/>
        <w:rPr>
          <w:sz w:val="24"/>
        </w:rPr>
      </w:pPr>
      <w:r>
        <w:rPr>
          <w:rFonts w:hint="eastAsia" w:ascii="宋体" w:hAnsi="宋体" w:cs="宋体"/>
          <w:b/>
        </w:rPr>
        <w:t>带“★”标记的内容为实质性条款，投标人对标“★”内容不得有负偏离，否则做无效投标处。</w:t>
      </w:r>
    </w:p>
    <w:p>
      <w:pPr>
        <w:spacing w:line="360" w:lineRule="auto"/>
        <w:ind w:firstLine="448" w:firstLineChars="200"/>
        <w:outlineLvl w:val="0"/>
        <w:rPr>
          <w:rFonts w:hint="eastAsia"/>
          <w:sz w:val="24"/>
        </w:rPr>
      </w:pPr>
      <w:r>
        <w:rPr>
          <w:rFonts w:hint="eastAsia"/>
          <w:sz w:val="24"/>
        </w:rPr>
        <w:t>注：承保机动车明细从天津市政府采购中心网（http://tjgpc.zwfwb.tj.gov.cn）本项目招标公告附件下载。</w:t>
      </w:r>
    </w:p>
    <w:p>
      <w:pPr>
        <w:numPr>
          <w:ilvl w:val="0"/>
          <w:numId w:val="0"/>
        </w:numPr>
        <w:spacing w:line="360" w:lineRule="auto"/>
        <w:ind w:left="482" w:leftChars="0"/>
        <w:outlineLvl w:val="0"/>
        <w:rPr>
          <w:rFonts w:hint="eastAsia"/>
          <w:b/>
          <w:bCs/>
          <w:sz w:val="24"/>
          <w:lang w:eastAsia="zh-CN"/>
        </w:rPr>
        <w:sectPr>
          <w:footerReference r:id="rId3" w:type="default"/>
          <w:pgSz w:w="11906" w:h="16838"/>
          <w:pgMar w:top="1440" w:right="1797" w:bottom="1440" w:left="1797" w:header="851" w:footer="992" w:gutter="0"/>
          <w:pgNumType w:start="1"/>
          <w:cols w:space="425" w:num="1"/>
          <w:docGrid w:type="linesAndChars" w:linePitch="285" w:charSpace="-3449"/>
        </w:sectPr>
      </w:pPr>
      <w:r>
        <w:rPr>
          <w:rFonts w:hint="eastAsia"/>
          <w:b/>
          <w:bCs/>
          <w:sz w:val="24"/>
          <w:lang w:eastAsia="zh-CN"/>
        </w:rPr>
        <w:t>三、承保车辆明细</w:t>
      </w:r>
    </w:p>
    <w:tbl>
      <w:tblPr>
        <w:tblStyle w:val="19"/>
        <w:tblW w:w="138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机动车所有人</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车辆号牌</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车辆类型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规格型号</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初次登记日期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车辆价格</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车辆识别代码</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发动机号</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排气量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沃尔沃YV1CT985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YV1CT9852A1560813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B6324S24021022540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津A7898警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哈弗牌CC6473GM05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134000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LGWEF7A6XKH254794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1944051625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津A9682警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哈弗牌CC6473GM05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134000</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LGWEF7A6XKH253919</w:t>
            </w:r>
          </w:p>
        </w:tc>
        <w:tc>
          <w:tcPr>
            <w:tcW w:w="0" w:type="auto"/>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1944041788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LFMAPE2C6D0466832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F228387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津B252T0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福特牌JX6490PA5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LJXDJ3CB9HTU37830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H6G027769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LFMAP22C8E0689356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G358095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津A3668警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LFMAPE2C180063041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E265303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津A6333警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LGWEF4A59DF282347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1305560849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津NB8087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五十铃牌QL10207GDRD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2011-4-22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LWLTFR7D6BL013573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3B014634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别克牌SGM6517GL8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352387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LSGUD82C16E019796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LZC65240354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津QE7766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LFMAP22C0B0306750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G020460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津AL5906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柯斯达牌SCT6703TRB53LEX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937500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LFMES5812BS011208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8319669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津A5631警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2010-5-6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LFMAP22CXA0165863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E583263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LFMAPE2C4D3594002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F283656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奥迪牌FV6461ATG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LFV3B28RXB3003181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050605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津AK1032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柯斯达牌SCT6702TRB53LEX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509500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LFMES58108S004573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8166705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津AK1372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柯斯达牌SCT6702TRB53LEX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LFMES58189S006007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8208430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上汇牌SH6490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LSKF4BC148A000419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16197110018272E08.8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津D66583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丰田牌GTM6480ASL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LVGDA46A0BG116974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0499946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LJDJAA146C0149346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CW208049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津A3988警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陆地巡洋舰霸道JTEBL29J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JTEBL29J995153382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2TR0790605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依维柯牌NJ6713TR1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318585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LNVU1CA388V600357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08F0127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柯斯达牌SCT6702TRB53LEX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534594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LFMES58199S005383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8190098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别克牌SGM6527AT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2009-7-7</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376925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LSGUD82C49E014872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96050162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丰田牌GTM6480GDL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2010-7-15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360158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LVGES46A6AG015972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J261603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3.5 </w:t>
            </w:r>
          </w:p>
        </w:tc>
      </w:tr>
    </w:tbl>
    <w:p>
      <w:pPr>
        <w:numPr>
          <w:ilvl w:val="0"/>
          <w:numId w:val="0"/>
        </w:numPr>
        <w:spacing w:line="360" w:lineRule="auto"/>
        <w:ind w:left="482" w:leftChars="0"/>
        <w:outlineLvl w:val="0"/>
        <w:rPr>
          <w:rFonts w:hint="eastAsia"/>
          <w:b/>
          <w:bCs/>
          <w:sz w:val="24"/>
          <w:lang w:eastAsia="zh-CN"/>
        </w:rPr>
        <w:sectPr>
          <w:footerReference r:id="rId4" w:type="default"/>
          <w:pgSz w:w="16838" w:h="11906" w:orient="landscape"/>
          <w:pgMar w:top="1797" w:right="1440" w:bottom="1797" w:left="1440" w:header="851" w:footer="992" w:gutter="0"/>
          <w:pgNumType w:fmt="decimal" w:start="13"/>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津A1696警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奥迪牌FV7201TFCVTG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2009-12-10</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384000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LFV3A24F393067202</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163318</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津H65678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271350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LFMBE85B870071456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C230825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江铃全顺牌JX6571P—M4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204800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LJXBM2JD19T080870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98G00412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津CH5699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别克牌SGM6531UAAF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239900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LSGUA8479JF146615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183405194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津RZH056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LSVN24BR3JN260820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B26125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津RTV608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LSVN24BR4JN260793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B26229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LFMAP86C4J0732078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9547667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LFMAP86CXJ0732134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9548587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津A9309警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LFMAP86C0J0355359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9547856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津A9380警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LFMAP86C0J0355667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9550126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津A3337警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帕萨特牌SVW7183LJi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LSVDL49F672472660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378843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津B610R8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大众汽车牌SVW71810AJ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LSVD62A44JN127820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6H2928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津B239N7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LFMAP86C4J0355803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9550766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津A1851警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帕萨特牌SVW7203EPi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LSVDN49F862341514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BNL 212658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津C5M090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LFV2A2BS7K4887472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J71141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津HTG661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大众汽车牌SVW71810FJ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LSVCZ2A44EN216943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Y29539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津A0899警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北京现代牌BH6430AY</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2009-7-31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168000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LBEJMBKB59X152165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9B199005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津C5V688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LFV2A2BS4K4876977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J65658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津C5T670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LFV2A2BS6K4886569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J71118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哈弗牌CC6473GM05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LGWEF7A61KH254781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1944051652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津B235V3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大众汽车牌SVW71810AJ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LSVD62A48JN146256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6L6459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津AK3675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柯斯达牌SCT6702TRB53LEX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574013.11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LFMES58109S007684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8241579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津A3556警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丰田牌TV7120GL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LFMA086C3J0318956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U274574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津B262N1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神探牌JYG5030TXUG6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LVGDN56A4KG068485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4165546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津B382H1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神探牌JYG5030TXUG6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LVGDN56AXKG070077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4192174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numPr>
          <w:ilvl w:val="0"/>
          <w:numId w:val="0"/>
        </w:numPr>
        <w:spacing w:line="360" w:lineRule="auto"/>
        <w:ind w:left="482" w:leftChars="0"/>
        <w:outlineLvl w:val="0"/>
        <w:rPr>
          <w:rFonts w:hint="eastAsia"/>
          <w:b/>
          <w:bCs/>
          <w:sz w:val="24"/>
          <w:lang w:eastAsia="zh-CN"/>
        </w:rPr>
        <w:sectPr>
          <w:footerReference r:id="rId5" w:type="default"/>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津B316F2</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神探牌JYG5030TXUG6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2019-12-31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252850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LVGDN56A4KG070074</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4191717</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津A2013警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LFMAP22C6B0306798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G020715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津A6294警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LGWEF4A58DF202679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津A7868警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LSVAH20C4K2257301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津A7888警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LSVAH20C3K2257340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C33665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丰田牌CA6520G2E4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913425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LFMGJK747A3008996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A097117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LJDJAA147C0149338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CW209482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津C13U57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LSVCC2C4XKN158413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津C19Y05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LSVCC2C43KN158463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别克牌SGM6512 GL8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2005-11-21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298920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LSGUD82C45E024389</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LW958230246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LFV2A11G9A3091074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344382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LNVU1CA37CVT02617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津A4449警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正远牌EZY5060XZH1N6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2021-6-30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1263000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LFMHA5810LS001696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H272795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津CCZ218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LFMAP22C5E0686897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G342885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LGWEF3A5XDB012030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229902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LSVET69F492798735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057917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LSVAB2BR0EN044500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津MGA131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LFMJW36FXC0166141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F975523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东风日产牌DFL6460MECD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LGBM2AE63BS002632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000065V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LFV2A11G8A3071141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322819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LFV2A11G5C3389902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753273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津C11B12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LSVCC2C46KN159123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287608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127005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LFMAP22C790125669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E462640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LFMAP22C6D0616825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LFMAP22C0E0698200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G370210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76</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LFMAP22C4E0695963</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G369018</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津A2240警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LTVBR22E560737626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1ZZB37205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LFV2A11GXC3039021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590719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帕萨特牌SVW7183LJi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236382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LSVDL29F582557169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444729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津CCY608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LFMAP22C1E0705137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G386377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津A5736警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LFMAPE2C0A0181149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E591308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LFMAPE2C3A0154852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E531210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LFMAPE2C9B0906930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E773846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帕萨特牌SVW7203UPD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LSVE349F3A2618346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津LQ5910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237717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LSVET69F592626729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043642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津C12R01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LSVCC2C40KN141572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255237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津A3708警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LFMAP22C080090813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E322786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津B253B5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大众汽车牌SVW71810AJ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LSVD62A41JN146261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6L6445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LFMAP22C5E0688732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G357404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津MZ1889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丰田牌TV7182GLX-i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LFMARE0C4B0320052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E812973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LSVAB40C5JN068232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074224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津DVY758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LSVCH2A40DN075581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U08736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LSVAB2BR6EN044243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A76236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津CDT368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LFMAP22CXF0717921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G415173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LFMAP22C5D0616640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F383246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津A5737警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LFMAPE2C4A0155640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E532703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津A6311警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LGWFF3A57DB003340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SMN3588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LFV2A11G8C3353718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595717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别克牌SGM6512 GL8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LSGUD82CX6E002897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LW95B020045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别克牌SGM6515ATA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LSGDC82D49E026225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LB899100126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津C5M790</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LFV2A2BS0K4876717</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J65410</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LFV2A11G6C3353300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593903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LFV2A11G2C3391834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753735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LSVAB2BR4EN044208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A76197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津RWG279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LSVN24BR0JN260810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B26231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津HUF906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LFMJW36FXD0176816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G135682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LFMAP22C2E0703736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G383403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LGWEF3A51DB012031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LFMAP22C2D0617549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LFMAP22C3E0699809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G373811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LFMAP22C3A0193892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F918745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LTVBR22E860729360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1ZZB28797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津A4891警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LFMAPE2C9A0191856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E616485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津A3161警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丰田牌GTM7240VB-NVAI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LVGBE40K67G175502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C366053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LGWEF5A58FB000182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SPM4355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津A5450警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依维柯牌NJ6604CC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224300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LNYEBKA37EV100197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13M3839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津A6450警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依维柯牌NJ6593ER6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LNVU1CA389V300822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09C0677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津A9759警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依维柯牌NJ6593ER6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LNVU1CA30AVL02097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10M1141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LFMAP22C8E0690166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G359644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LFMBE85B290125322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C349585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津B688C3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丰田牌TV7250V3S</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2006-4-25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LTVBJ222060029782</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5GRC068915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津C19B26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LSVCC2C42KN158423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别克牌SGM6527AT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LSGUD82C99E021381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98030126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LFMKV30F3B0074240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F601926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丰田牌GTM7160G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2008-11-12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LVGCV90338G010731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0306983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津C5L690</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LFV2A2BS7K4876794</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J65662</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津C19D25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LSVCC2C49KN159004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287668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津C17T50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LSVCC2C46KN158313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津LQ0883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陆地巡洋舰JTEHJ09J675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847000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JTEHJ09J675178662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1FZ0763477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丰田牌GTM6480AL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367757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LVGDA46A09G002712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0096338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丰田牌GTM7200GB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2009-4-2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227700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LVGBH40KX9G303248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C609689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丰田牌TV7162GL-iMD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2009-4-14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LFMAP90A290025585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F831843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金杯牌SY6521MS3BG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2010-7-13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LSYHGABF19K073367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4RB203845A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别克牌SGM6515GL8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LSGDC82D36E016717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LB864180760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津C12Z27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LSVCC2C45KN158383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LFMBE85B290124980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C349075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中天之星牌TC5260XTX</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YV2ASG0D99A683582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D13187048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津RTA470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LFV2A2BS5K4887650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津QE7775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LFMAP22C3B0306726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G020723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丰田牌TV7251Roya1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LFMBEK4B1A0006051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C415108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LFMAP22C390099815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E367192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津A9303警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汇众牌SH6530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LSKF5BC197A004476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16197110021624E08.8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五十铃牌QL1020NGDRD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LWLTFRNDX8L025642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M3002271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LNVU1CA38CVT02626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津B271B5</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丰田牌TV7181GLX-iM</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2007-12-25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155500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LFMARE0CX70029109</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E054799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津A7040警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LFV2A11G3A3091071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344338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津A6149警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LFV2A11GXC3354532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597035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津A5987警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LFMAP22C0B0278304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F992861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津CA6626</w:t>
            </w:r>
          </w:p>
        </w:tc>
        <w:tc>
          <w:tcPr>
            <w:tcW w:w="11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海格牌KLQ6115H</w:t>
            </w:r>
          </w:p>
        </w:tc>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LKLR1FSF9DB637476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G5ASAD00626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LFMAP22C7E0679160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G329067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津A7771警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2020-3-10</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LSVAH20C9K2257603</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C33640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雅阁牌HG7204AB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195384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LHGCP154588005515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7833730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LFMAP22C5D0616735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LJDJAA143C0150700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CW214610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LJDJAA142C0150705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CW214531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LJDJAA142C0149344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CW208048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LFMBE85B090124511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C348238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上汇牌SH6490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LSKF4BC128A000435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16197110018720E08.8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津AK5079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LFMHS581X9S004787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8240213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帕萨特牌SVW7183LJi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LSVDL29F982519055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BGC410577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津A7759警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LFV2A2BSXK4888499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J71589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津B609J7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大众汽车牌SVW71810AJ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LSVD62A42JN146236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6L6388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LJDJAA140C0150704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CW214527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克莱斯勒牌DN6510M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LTNG554E980002554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80002554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津MGA138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LFMJW36F8C0168633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G008652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LJDJAA141C0149867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CW206968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LJDJAA145C0149872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CW206973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津CDA588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LFMAP22C9E0697644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G371988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LJDJAA147C0149064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CW204554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奥德赛牌HG6480B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249800</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LHGRB188182012438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K24A66812523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LFMAPE2C4A0170252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E566405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津LQ0062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陆地巡洋舰霸道JTEBU25J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JTEBU25JX55042160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1GR5206072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津K13318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朗逸牌SVW7167HSD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128700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LSVAH2181A2521180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CFN125168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LSVAB2BR8EN044227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A75517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LJDJAA146C0149833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CW205538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津QZ9215</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LJDJAA141C0149870</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CW210744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津A9207警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神探牌JYG5028XTXG5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LSGUL83L0JA050264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180186532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LSVAB2BR8EN044180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A76050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LFMAP22C3D0616880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津A0662警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中意牌SZY5043XXC3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LNVU1CA30CVN03033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12L2502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津LQ0051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维拉克斯KMHNU81C97U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KMHNU81C97U036818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G6DA7A950403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津A9155警</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神探牌JYG5028XTXG5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LSGUL83L2JA050573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180145535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津A1819警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长城牌CC6460RM21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LGWFF4A54EF061549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1405020013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中意牌SZY5043XXC3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LNVU1CA32CVN03051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12L3010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津A9200警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神探牌JYG5028XTXG5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LSGUL83L2JA050265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180195010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津A1115警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中意牌SZY5043XXC3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264312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LNVU1CA37CVN03014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12L3004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LGWEF4A50DF201915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1305525732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津KKT766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LFMAP22C8A0151525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E546104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LJDJAA142C0149831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CW205546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LJDJAA140C0150699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CW214615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津GB1630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别克牌SGM6515GL8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LSGDC82D17E029256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78060573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LJDJAA145C0149340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CW208034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LFMAP22C5D0616671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LJDJAA144C0149345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CW209405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津LS1722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猎豹牌CFA6470L3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2010-5-6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LL6654B0XAA034387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SHK2991</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745000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YV1CZ9856A1554432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B6324S24090904083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LJDJAA145C0149337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CW209480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LJDJAA143C0149868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CW206982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LJDJAA143C0149871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CW206975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LJDJAA144C0149832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CW208165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津HUF908</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2013-7-16</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LFMJW36F3D0179914</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G187874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天津市滨海新区人民政府办公室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LFMJW30FOBO113942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F668935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天津市滨海新区人民政府办公室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LFMAP22C5B0276242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E842508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丰田牌GTM7200G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LVGBH40K67G040981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C332151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丰田牌GTM6480AL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367757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LVGDA46A69G017800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0180035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天津市滨海新区人民政府办公室</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丰田牌TV6460GLX-iM</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2012-5-8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LFMJW30FXB0113964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F669077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津HHD076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LFMAP22C7A0151063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F870048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LGWEF3A56DB012042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丰田牌GTM7200GB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212752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LVGBH40K79G337597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C749908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津KKS768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LFMAP22C6A0171143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F891398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津LQ5925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LFMAP22CX90130820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F856956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丰田牌SCT6490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2004-11-4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LCUBU29J34S002554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0177857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津C18T21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LSVCC2C47KN159437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287820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YV1CZ5954A1557482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B5254T4442289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YV1CZ5952A1563586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B5254T4454532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津A3947警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白云牌BY5040XFB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1FTSE34L98DB38947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B38947H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中警牌ZY5049XZH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1FTSE34L08DB10969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B10969H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中意牌SZY5162TDY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LWLYURGKXAL003850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3002290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柯斯达牌SCT6702TRB53L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LFMHS58149S004784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8240718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津A5791警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中意牌SZY5056TDY8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LNYNBAA31AV601607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10F1470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津A1823警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中意牌SZY5044XGCN2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LNYABAA35DVNO1139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13L0901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YV1CZ5956A1563588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B5254T4454530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YV1CZ595XA1563593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B5254T4455366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YV1CZ5950A1563585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B5254T4454557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YV1CZ5959A1557512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B5254T4441932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00"/>
        <w:gridCol w:w="1630"/>
        <w:gridCol w:w="1643"/>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津A9817警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LETDJECB3HH031490</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252C6769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津A9807警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LETDJECB5HH031491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252C6727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津A6625警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LETDJECB2GH017479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251B3809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LGWFF3A51DB007187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SNH8884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LGWFF3A58DB007185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SNH8893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LGWFF3A5XDB006894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SNH0693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LGWFF3A5XDB007169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SNH8865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LSVAB2BR0EN044416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依维柯牌NJ6604CC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224300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LNYEBKA39EV100198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13M3841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津A6009警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中意牌SZY5047XGC8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LNYNBAA399V400730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09D0362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白云牌BY5040XFB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1FTSE34LX8DB12051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B12051H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津A3211警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福特牌1FTSS34L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1FTSS34L97DA67403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A67403H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津A3212警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福特牌1FTSS34L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1FTSS34L47DA67406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A67406H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津E32042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LFMAP22C1E0685200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G352035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LETDJECBXGHO17388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251B3849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LETDJECB7HH031489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252C6726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津A9869警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LETDJECB5HH031488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252C5229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白云牌BY5040XFB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1FTSE34L28DB12013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B12013H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津A1916警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江铃全顺牌JX5039XYBMC1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203900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LJXBMDJDXDT079432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D7P19588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津A3082警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LFMAC22C770814801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C13885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中警牌ZY5049XZH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IFTSE34L48DB38936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B38936H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津A6578警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中意牌SZY5042XXCN6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142900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LNYRBKA40EV402294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9003165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津A9122警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LETDJECB3HH031487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252C5289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津A6627警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2017-11-14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LETDJECB4GH016737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251B0873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津A9111警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红都牌JSV5031TXUMBA5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2018-3-28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LETDJECB1HH031486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252C5214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津A3078警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2007-5-17</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LFMAC22C970815660</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C15144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津A6005警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中意牌SZY5047XGC8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325641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LNYNBAA379V400662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09D0288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津A6464警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江铃牌JX5032XZHM1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LEFCJDBB2FTP27424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FBP38443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津A6452警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江铃牌JX5032XZHM1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LEFCJDBBXFTP27400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FBP38449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津A6462警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江铃牌JX5032XZHM1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LEFCJDBB1FTP27396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FBP38377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津A1353警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东风牌ZN1023U2N4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2014-11-19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LJNTFU2K5EN061740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459991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江铃全顺牌JX5049XYBMF2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LJXBHDJEXET103775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EAP44001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江铃全顺牌JX5039XYBMC1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LJXBMDJD8ET102935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EAP43840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津A6451警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江铃牌JX5032XZHM1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LEFCJDBB4FTP27442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FBP38376</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津A6453警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江铃牌JX5032XZHM1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LEFCJDBB3FTP27383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FBP38415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津AK6380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柯斯达牌SCT6700RZB54L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2003-11-3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392276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LCUFM51883S002673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3RZ3071126</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津AL0592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柯斯达牌SCT6703TRB53L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LFMHS5812AS006148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8309126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津MJ9600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2011-4-26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YVICZ9553B1575387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B6324S24061007480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2011-4-26</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YV1CZ9553B1568665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B6324S07051009094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津LQ0869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陆地巡洋舰JTEHT05J072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2007-10-29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JTEHT05J072115249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2UZ1227796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思威牌DHW6452(CR-V2.4)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2008-4-29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LVHRE486485013995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津MG1558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2011-5-3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LFMJW30F5B0111510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F665939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陆地巡洋舰霸道JTEBU25J985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2008-7-1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828214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JTEBU25J985124448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1GR5584296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津MGA139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LFMJW36FXC0168133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G004282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津A5738警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LFMAPE2CXA0168943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E563387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LFMAPE2C5D0463436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F217459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LFMAP22CXD0616875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津LS1767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别克牌SGM6515ATA</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2008-11-26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253805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LSGDC82D38E033634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89010295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津LS1800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227000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LSVET69F392350647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013560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LFMKV30F2B0077145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F615081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津C19Q01</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LSVCC2C49KN141568</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255243</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津ADT281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LSVCH2A43DN086901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U17948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津GXQ059</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2013-7-18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LSVCH2A44DN099222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U27095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津A7806警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LFV2A2BS8K4887898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津RPK782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LSVCH2A45DN150548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U67701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LFV2A11G7C3393711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769777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LFV2A11G0C3389919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755773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LFV2A11G3C3393608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768383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LGWEF4A52DF282349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1305560891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LFMAP22C5A0191349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F916639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LFMAP22C8D0616941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F384140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津C5Y090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LFV2A2BS7K4891182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J73685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LSVT91337DN522015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335517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津KPR969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三菱牌DN6461H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170418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LDNHBAEK0A0004700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SHX3995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津A9830警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LFV2A2BS1K4887564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J71306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LFV2A11G4D3315212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857531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津GAL596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LFV2A11GOA3114256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LSVAB2BR2EN044398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A76173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LFV2A2BS8K4872205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J63128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津HHD797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LFMAP22C4A0156849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E556718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津MUW056</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2013-7-18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LSVCH2A41DN099209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U27091</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津A2053警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货车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中天之星牌TC5040XQY1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LEFYECA20FHN71649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F812077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津A7719警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LFV2A2BS5K4890841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J73539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津A2718警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丰田牌TV7120GL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LFMA086C6J0323746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U281217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津A7756警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LFV2A2BS1K4888469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津A7971警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LFV2A2BS8K4873757</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J63163</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津A2023警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长城牌CC1030QS00B</w:t>
            </w:r>
          </w:p>
        </w:tc>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LGWCB6194LJ068587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2055927532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LFMAPE2CXD3584204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F250357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津NB8086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五十铃牌QL10207GDRD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2011-4-22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LWLTFR7DOBL013715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3B014764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别克牌SGM6527AT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LSGUD82C9AE006352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9C280128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津AEW181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LSVCH2A44DN125544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U47596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江铃全顺牌JX6466DF-M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LJXCMCCB3AT112485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AB145649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LFMAPE2C1D3591588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F277123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沃尔沃YV1CZ985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745000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YV1CZ985XA1550884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B6324S12110906201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LSVAH20C5K2257940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306841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津LR9685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普拉多牌JTEBX3FJ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2010-11-23</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487376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JTEBX3FJ4AK035213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2TR0955435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津RUC915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LSVN24BR3JN260817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B26124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津RWP016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LSVAB40C0JN066047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072791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雅阁牌HG7203AB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LHGCP1684A2090065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6090043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津HGZ716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LFMAP22C090098816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E364317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LJDJAA14XC0149866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CW206942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LFMAPE2CXA0187377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E606547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中意牌SZY5056XQC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LNYNBAA358V701249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08G1172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江铃全顺牌JX6651T-S4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LJXBHDJEXDT116797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DCP37710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LGWEF5A54FB000180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SPM4353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津C5H590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LFV2A2BS7K4876830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J65947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津A7615警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LFV2A2BS8K4877453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J65887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LFMAPE2C4D3580942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F241433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津A1928警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江铃全顺牌JX5049XQCMC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234027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LJXBMDJD9DT113473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DBP34867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津C5P300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LFV2A2BS0K4876846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J65948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津A3597警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中意牌SZY5056XQC</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2009-3-4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303931</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LNYNBAA368V701356</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08G1630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122441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LFMAP22C470030614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E078485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津A1069警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中意牌SZY5056XQC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LNYNBAA318V701264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08G1481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津A6576警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中意SZY5042XXCN6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2014-8-20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142900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LNYRBKA46EV402381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9003340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丰田牌TV7251RoyalNAVI</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372099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LFMBEK4B2A0022078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C455767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起亚牌YQZ6442A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LJDJAA145C0149869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CW26985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帕萨特牌SVW71810DJ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224850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LSVCD6A46BN198947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805810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津A5808警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东南牌DN5020XQC4B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LDNC7CKH1A0154640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SJD0922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LFMAP86C4E0057788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F571429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LFMAP22C1F0718519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G416516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津A1691警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LFMAP22C9A0191886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F917233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LFMAP22C6A0188427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E666126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LFMAP22C580074106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E257985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LGWEF3A54DB012038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津A6053警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LFMAP22C7B0278798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F992460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LNVU1CA36CVT02625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12K1824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LFMAP22C8E0688031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G356471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津C5M570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LFV2A2BS9K4876862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J65710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LSVCC2C46KN149725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LFV2A11G7C3353760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594891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津A0592警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斯巴鲁傲虎JF1BR96D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JF1BR96D3AG026572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EJ25E157298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LFMAP22C0D0616917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LFMAP22C3F0715931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G410540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LSVCC2C47KN150334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津B230Y0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丰田牌GTM7200G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2008-1-29</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219500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LVGBH40K87G044384</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C352557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numPr>
          <w:ilvl w:val="0"/>
          <w:numId w:val="0"/>
        </w:numPr>
        <w:spacing w:line="360" w:lineRule="auto"/>
        <w:ind w:left="482" w:leftChars="0"/>
        <w:outlineLvl w:val="0"/>
        <w:rPr>
          <w:rFonts w:hint="eastAsia"/>
          <w:b/>
          <w:bCs/>
          <w:sz w:val="24"/>
          <w:lang w:eastAsia="zh-CN"/>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津A2603警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LFV2A23C9L3096052</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U80064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津A3709警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LFMAP22C380090501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E320759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LGWEF4A55DF200114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LGWEF3A58DB012043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LSVAB2BR1EN044263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A74330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津A6052警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LFMAP22C0B0283941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F998414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LNVU1CA36CVT02687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LFMAP22C8E0697845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G372235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LFMAP22C580068757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E238926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津A3696警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LFMAP22C180090819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E322836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LFMAP22CX90099388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E366107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津A1771警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LFMAP22C380052038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E165862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津C5Y660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LFV2A2BS0K4876894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J65473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津A7807警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大众汽车牌SVW71521DF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LSVAF40C1KN068492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A19417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津A7763警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津A7666警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津B650E5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LTVBR22EX60749433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1ZZB48962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津A1236警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LSVT91333AN033588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043908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LFMAPE2C2A0182531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E594754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LFMAP22CXA0193498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F918555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LGWEF3A53DB012046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SNJ6236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LGWEF3A53DB012032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津A6050警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LFMAP22C7B0286643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G000969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LNVU1CA39CVT02618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12K1825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LGWEF5A58FB000179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SPM4330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津NB8500</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2011-5-11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97200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LSVT91337BN031702</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131904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江铃全顺牌JX6466DE-M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LJXBMCCB0AT011321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A1002508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津A7765警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LFV2A2BS4K4887560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津A7705警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哈弗牌CC6473GM05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LGWEF7A65KH254783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1944051653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LSVCC2C4XKN149792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津RMT371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神探牌JYG5030TXUG6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LVGDN56A0KG070069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4191492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LFV2A23C7L3095675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纳智捷牌DYM6481ACB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248300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LUXG91S14DB042532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EB0011157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津GAL569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LFV2A11G1A3071157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322822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LFMAP22C4A0192394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F917458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LGWEF3A54DB012041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LNVU1CA33CVT02632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LGWEF5A56FB000181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SPM4350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LFMAP22C9A0170889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F890790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LFMAP22C4F0716439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G411987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266996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丰田牌TV7250RoyaIA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347350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LFMBE84B580076830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C244399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汇众牌SH6531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LSKF5BC109A000545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16197110030240E08.8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LFMAP22C880065755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E227883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LNVU1CA3XCVT02675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LGWEF4A52DF204184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1305526528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LFMAP22C5E0654242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G316255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LFMAP22C9D0616771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津C5J910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LFV2A2BS5K4887003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J71266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LSVCC2C45KN137792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247163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津A9593警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LSVCC2C41KN149695</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268842</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津A2070警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东风牌ZN5023XGCH2N</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2010-10-29</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104800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LJNTFE2K0AN044666</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119352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迈腾牌FV7187TDQG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2010-7-14</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LFV3A23CXA3037402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LGWEF4A58DF200091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1305524838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LFV2A11G5B3093549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730098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LGWEF3A55DB012047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SNJ6237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LFMAPE2C3A0191299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E615863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LFMAP22C4A0191875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F917065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LFMAP22C080070478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E245165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津A5413警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LGWEF3A51DB012045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SNJ6233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LNVU1CA35CVT02633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LFMAP22C8E0687879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G356240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LFMAP22C2A0191051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F916350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津A3683警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LFMAP22C280078484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F818006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津CBN322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LFMAP22C0E0672499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G333950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江铃全顺牌JX6466DE-M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LJXBMCCB9AT011317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A1002518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津A4883警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LFMAPE2C9D3567104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F198875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LSVCC2C43KN150850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津A7669警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津A3681警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LFMAP22C180051518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E162755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LGWEF3A52DB012037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LFMAP22C3D0616958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F384192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LNVU1CA38CVT02674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LFMAP22C3A0181564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F906087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津A9703警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LSVCC2C47KN149765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津A3996警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2009-8-20</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LFMAP22C290115924</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F844934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LFV2A23C3L3123178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NB9525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LFMAP22C9D0616821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LFMAP22C4D0616838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津A5959警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丰田牌TV6460GLX-im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LFMJW30F9B0114507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F674513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LFMAP22C8D0616891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LSVAB2BR9EN044270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162119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LNVU1CA32CVT02685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津A6938警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LFMAP22C7E0684746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G347160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丰田牌TV7251Roya1NAVI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LFMBEK4B1A0007653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C420941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津A3622警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LFMAP22C190092992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E333977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津B682C1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帕萨特牌SVW7183HJi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LSVCM49F252211239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BGC011185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LSVCC2C45KN149621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津A7983警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LFV2A23C3L3123052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NB9619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LFMAP22C680068301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E237253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LGWEF3A57DB012048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SNJ6239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LNVU1CA30CVT02619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LGWEF5A56FB000178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SPM4343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津RQQ573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LFMAP22C290098171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E362315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LSVCC2C47KN149703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津A7652警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LFV2A23C9L3095659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LFMAPE2C2A0187289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E606697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津A3834警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LFMAP22C790099879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E367466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LGWEF3A5XDB012044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LNVU1CA31CVT02631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LFMAP22C5F0716496</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G412062</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津A9397警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津A1733警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帕萨特牌SVW7203VPD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LSVE449F7B2416138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335815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LFV2A23C4L3095665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LFV2A11G2C3391932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津MB8689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帕萨特牌SVW7203VPD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LSVE449F6A2682023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328614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LFMAP22C8A0191118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E675762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津A3680警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LFMAP22C680090606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F826291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津A3684警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LFMAP22C880068882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E239005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LFV2A11G9C3064010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753375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LNVU1CA31CVT02676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LFMAP22C1F0718469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G416238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LFV2A11G2C3393499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759533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LFMAP22C2F0719596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G417008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津A7855警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LFV2A2BS0K4887894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津C5R910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LFV2A2BS6K4886555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津A9076警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LFMAP22C1A0198167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E688499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LFMAP22C2D0617518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天津市经济技术开发区司法局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津AD518警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LSVT91330BN106630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184029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LFMAP22C880074245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E259035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115819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LFMAP22C180068822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E239752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LFMAP22C2F0718125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G414143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LFMAP22CXF0716087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G410870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LFV2A23C1L3096031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U80177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476</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津A6421警</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帕萨特牌SVW71813SJD</w:t>
            </w:r>
          </w:p>
        </w:tc>
        <w:tc>
          <w:tcPr>
            <w:tcW w:w="12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2010-2-21</w:t>
            </w:r>
          </w:p>
        </w:tc>
        <w:tc>
          <w:tcPr>
            <w:tcW w:w="10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220950</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LSVET69F7A2566683</w:t>
            </w:r>
          </w:p>
        </w:tc>
        <w:tc>
          <w:tcPr>
            <w:tcW w:w="16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063140</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津A6076警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丰田牌TV7161DLXD</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LFMAP22CXB0273451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F987893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桑塔纳牌SVW7180LED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LSVA10330AN087648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0493523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帕萨特牌SVW71813SJD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LSVET69F5A2566679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063112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LSVCC2C45KN149554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津B683D6</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丰田牌TV7250V3S</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2006-4-25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LTVBJ222960030042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5GRC069891</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津A6943警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丰田牌TV7166GMD5QU</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LFMAP22C9F0718834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G415571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津AX1232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中意牌SZY5056XYBN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2016-9-27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LNVM1CA40FVL02536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9007319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津A7035警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222700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LSVET69F8A2656652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126725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LFMAP22C8B0283671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F998108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津A6180警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LFV2A11G9C3397484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784359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津A3289警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江淮牌HFC6470AR3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2007-12-28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LJ16AA23677045512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71044524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津JU9289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速腾牌FV7166G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LFV2A11K493055308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BWH348896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津A5421警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LFMAP22C8D0616700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LGWEF4A59FF019018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SPM9402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津A6921警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LGWEF4A57FF019017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SPM9403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津A9031警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LSVCC2C45KN149781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津B280Y2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迈腾牌FV7207TDQG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LFV3A23C793032427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025250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LFV2A11G1C3354032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581753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LGWFF3A58DB003265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SMN0540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朗逸牌SVW7167BSD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133950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LSVAB218292196827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753176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津JM5100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尼桑牌ZN6453W1G3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LJNMEW1G99N011297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960915Y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津A5620警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LFMAP22C390121389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F849428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津A5988警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LFMAP22C8B0287588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G001264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LGWEF4A5XDF203896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1305526173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219"/>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津A7672警</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LFV2A2BS7K4888251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J71849</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津A7786警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LFV2A2BS5K4888507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LFV2A23C9L3095712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津A0582警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LFMAP22C7A0163732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F883967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LGWEF4A55DF203899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1305526176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LFV2A2BS2K4888514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J71578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津A7659警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LFV2A2BS5K4872128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J63268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津A5441警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LSVAB2BR0EN044187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A75267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津A7711警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LSVCC2C40KN149803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金杯牌SY6504US1BH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LSYBCAAB0BK045128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036447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丰田牌TV7250D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LFMBE85B290125059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C347702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津C5F950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LFV2A2BS0K4887460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J71239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津A5986警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LFMAP22C6B0286956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E859701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LGWEF4A56DF200106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津A6577警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其他车型(特种)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中意牌SZY5042XXCN6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LNYRBKA41EV402403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9003339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LFMAPE2CXB0266369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E773363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津A7795警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LFV2A2BS8K4890784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J74458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LFV2A2BSXK4890835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J73519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津A7613警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LSVCC2C49KN149914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津A1267警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LGWEF4A51DF201910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1305525758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津A0695警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LFMAP22C4A0169150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F889526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津A5989警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LFMAP22C5B0272871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F987558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津B210M1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LTVBR22E660744827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1ZZB44358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LFV2A2BS4K4890796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J74461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津A9162警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LSVCC2C40KN149767</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269137</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津A6291警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107210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LGWEF4A59DF202688</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1305008899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丰田牌CA7160GL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LFMAPE2C7D3592373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F278470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天津市滨海新区人民政府办公室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津DV9204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LFMAP22C5B0276452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LSVT91332DN522018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335512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津A7599警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LFV2A2BS9K4877512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J65957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津A9067警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LSVCC2C49KN149671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267031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津LQ6352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帕萨特牌SVW7183LJi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236382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LSVDL29F582523880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413533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津A0705警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LFMAP22C5A0162207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E576847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LFV2A2BS9K4872178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J62858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LSVCC2C41KN149552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267024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津A2689警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LTVBR22E260726194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1ZZB25735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津A6410警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帕萨特牌SVW7203UPD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152750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LSVE349F992346817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271232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津A6061警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LFMAP22C0B0286564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G000606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津A7006警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帕萨特牌SVW7183SJD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229902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LSVET69FXA2561025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059002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津A7007警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LFV2A11G6A3153787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426836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津A7008警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金龙牌KLQ6540Q</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LKLSBAS64AB544622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丰田牌TV7180GLX-i3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164764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LFMAC22CX70802657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C02124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津A7901警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LFV2A2BS0K4885028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J69140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LFV2A2BS9K4885674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J71399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津C5G670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LFV2A2BS0K4886910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J71187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津A7872警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大众汽车牌SVW71521DF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LSVAF40C9KN068272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A18576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津A9851警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LFV2A2BS7K4885883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J71836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LSVCC2C48KN149614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津A6156警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LFV2A11G1C3039022</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590721</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LFV2A11G6D3317270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862473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津A5786警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LFMAP22C0A0177486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F899237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津A6063警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LFMAP22C9B0283159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F994039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津A6221警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LGWEF4A53DF203903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1305525964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津A5591警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LFMAP22C890121436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E445009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津B20L37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一汽佳星牌CA7152A12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LFP43BJC0B6S00230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2652864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津A7982警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LFV2A2BS1K4885880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J71824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津A7716警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LFV2A2BS6K4875944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J65237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津A7985警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LFV2A2BSXK4886302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津NB8095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皮卡车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五十铃牌QL10207GDRD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2011-4-22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LWLTFR7D5BL013709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3B014766</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津A3710警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LFMAP22C680069206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E241282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津A6075警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LFMAP22C2B0282533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F996748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津A7860警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津A2040警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捷达牌FV7160GiFE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LFV2A11G073043455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468566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津A0644警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依维柯牌NJ5045XQCNS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LNYRBKA3XBV601758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11D3827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津A2729警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LTVBR22E560732023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1ZZB31554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津A6062警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LFMAP22C2B0282807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F997292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LGWEF4A58DF204187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1305009294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帕萨特牌SVW7183MJi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207324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LSVDM49F382521697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BGC414050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LFMAP22C7A0157901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E553878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LFMAP22C5A0198463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F922327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津A0697警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2010-4-23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LFMAP22C4A0169259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F889794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津B265C3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丰田牌TV7180GL-iM3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LTVBR22E360748673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1ZZB48028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津A9971警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LFV2A2BSXK4886333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津A7706警</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LFV2A2BS7K4886337</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J71617</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LFV2A2BS1K4886382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LFMAP22C380090854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F826578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思威牌DHW6452B(CR-V2.4)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LVHRE487095015690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3015679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LSVCC2C47KN137762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247108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LSVCC2C47KN170762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津A7025警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捷达牌FV7160CiFE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LFV2A11G193206181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捷达牌FV7160CiFE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LFV2A11G193190029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937739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津A7028警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捷达牌FV7160CiFE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LFV2A11G693206192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津A5590警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LFMAP22C690120379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E443704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津A0583警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LFMAP22C1A0161930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F881860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津A1956警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依维柯牌NJ6593ER6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LNVU1CA38AVT01876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09B0729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津A9152警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LFV2A2BS7K4886533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J71644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津A9235警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LFV2A2BS9K4886825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J71995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津A3691警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LFMAP22C880090381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E316522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津RXQ557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LSVN24BRXJN224686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LSVCC2C40KN149669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LSVCC2C46KN149630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津A7014警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捷达牌FV7160CiFE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LFV2A11G393168338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903433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LFMAP22C4A0216869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F939857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津A1817警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长城牌CC6460RM21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LGWFF4A56EF068468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1405021192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津A5630警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2010-5-6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LFMAP22C7A0165867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E571573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津A9495警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LFV2A2BS5K4887129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J71258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津A7667警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LFV2A2BS6K4872123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J63264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LFV2A11G0D3012041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867663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津A7881警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LSVCC2C43KN149598</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268828</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津B698M1</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天籁牌EQ7230BB</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2006-7-21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259800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LGBF1CE076R172461</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VQ23164074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津A3905警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LFMAP22C890106886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E387754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津A5436警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丰田牌TV7166GMD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LFMAP22C2D0616904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G284454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津A3831警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LFMAP22C990099205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E365383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LFMAP22C090125433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E461760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津LQ5875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帕萨特牌SVW7183LJi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2007-3-23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256170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LSVDL29F472246119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津A6022警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LFMAP22C3B0278684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F989824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津A9726警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LSVCC2C47KN150009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津AHL206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LGWEF3A56DF201931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SMK8435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津A3903警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LFMAP22C190106177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E386017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LGWEF4A59DF282350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1305560887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津A7313警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金杯牌SY6513X2S1BH</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2009-8-27</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LSYBCAAA39K039129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013654 </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津A9535警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LFV2A2BS6K4890864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津A9215警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LSVCC2C49KN149640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津B651W9</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威乐牌CA7156UE</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2006-11-30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65637</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LFP53ACC365D21599</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5AD391414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津A3904警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LFMAP22C790106667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E388168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津A6065警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LFMAP22C7B0283984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F998159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津A4854警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速腾牌FV7186TATG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198423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LFV3A21KX93082488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津A6313警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长城牌CC6460KM29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LGWFF3A54DB003277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SMN2846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津LQ7062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LFMAPE2C7A0183898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E598244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津A9720警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LFV2A2BS8K4886010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J71441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津A9752警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LFV2A2BS4K4886019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J71436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津A9072警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LSVCC2C48KN149628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津A0693警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2010-4-23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LFMAP22C8A0168616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F889102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津A5735警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2010-6-29</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124500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LFMAPE2C8A0177091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E582120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LGWEF4A55DF201912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1305525757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津A5632警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2010-5-6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LFMAP22C3A0160889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F880563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津A6078警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2012-6-7</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LFMAP22C8B0274145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F988373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丰田牌TV7163GLM</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LFMAPE2C5A0252670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E748370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津B196B5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五菱牌LZW6407B3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LZWACAGAXA6044745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UA33021130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津A5599警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LFMAP22C390106407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E386766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LFV2A11G4C3397473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津A7776警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LFV2A2BS2K4890800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J73533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津A7783警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LSVCC2C4XKN149579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津A1176警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北京现代牌BH6430MY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LBEJMBJB7DX360185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DB124905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津A5401警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长城牌CC6461KM07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LGWEF3A56DB012039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SNJ2410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津A6021警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LFMAP22C0B0305419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G019222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津A6023警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LFMAP22C7B0279207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F993231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津A6419警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帕萨特牌SVW7183MJi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LSVDM49F882554260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431846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LGWEF4A55DF200095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津A5600警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丰田牌TV7160DLXD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LFMAP22C790105065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E382274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津A7887警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LSVCC2C41KN149762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津B071A3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威乐牌CA7156UE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LFP53ACC165D29619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5AD405125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津A7037警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丰田牌TV7182GL-i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152834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LFMARE2C4B0307685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E761296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津A7039警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LFMAP22C3A0200873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F924773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津QZ9202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LFV2A11G1C3395096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津A7953警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LSVCC2C46KN137705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247078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LGWEF4A59DF200097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津A4870警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北京现代牌BH6430MW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184312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LBEJMBJBX8X108436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8B161731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2"/>
        <w:gridCol w:w="1030"/>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津A7311警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丰田牌TV7164GD</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2012-6-27</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107895</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LFMAP22C9B0306746</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G020593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丰田牌TV7163GL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LFMAPE2C5B0907492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E780290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LSVCC2C49KN149752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LGWEF4A59DF203890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1305526491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津AHL106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LGWEF3A59DF202331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SMK3724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津A1970警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LDNL7CPH9D0166175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SMY4471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津A1564警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115928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LGWEF3A50DF166478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SMD6045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LFV2A11G2B3093525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730466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津A9071警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LSVCC2C46KN149644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津A7839警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LFV2A23C5L3123179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NB9523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津A4902警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桑塔纳牌SVW7180LED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LSVA10338AN090393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0496710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津LR1230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捷达牌FV7160GiFE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LFV2A11G293206240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津A5724警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东南牌DN5020XQC4B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LDNC7CKH4A0154633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SJD0967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津A3847警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LFMAP22C6A0197385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E683480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津A1178警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北京现代牌BH6430MY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LBEJMBJB5DX360167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DB124843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LFV2A11G6D3007863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847573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津A1971警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LDNL7CPH5D0166190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SNA0923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LFV2A11G4C3352257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592179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津A7610警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LSVCC2C44KN150808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津DL2939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奥德赛牌HG6480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LHGRB184X62027336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K24A66627335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津A7681警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LFV2A23C7L3095725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津B15278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汇众牌SH6492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LSKF4BC158A003054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16197110029127E08.8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津A0612警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桑塔纳牌SVW7182QQD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LSVT91332AN033615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CKZ043299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津A6332警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LGWEF4A5XDF282258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1305032666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津A1563警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LGWEF3A52DF166479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SMD6043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津A1972警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LDNL7CPH4D0166181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SMY4506</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LFV2A11G8D3006066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819297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津A6148警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LFV2A11G5C3354535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598749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津A1562警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LGWEF3A59DF166480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SMD6049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津A7999警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津B677T5</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2008-3-24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122000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LFMAP22C880041052</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E113667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津A7817警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LFV2A23C0L3095677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津HK1338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传祺牌GAC7200B5M4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LMGBH1352B1002015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B100664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LSVCH2A42CN207352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T45894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津A4846警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LSVCH2A47CN207363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T45896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北京现代牌BH6430MY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LBEJMBJBXDX360200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DB124927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津A1137警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江铃全顺牌JX6547-M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LJXBMFHCXDT010717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SMC9571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津MNG990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旅行(MPV)车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别克牌SGM6529ATA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LSGUD84X0DE000864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123380260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津MNG993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思威牌DHW6453R4ASD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LVHRM485XC5083634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1083595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津A6150警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LFV2A11G7C3354052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597115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津A1973警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LDNL7CPH3D0166186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SMY4505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津A1175警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北京现代牌BH6430MY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LBEJMBJB1DX360232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DB124767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津RUW398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大众汽车牌SVW71512BG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LSVN24BR0JN260807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B26232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津A7619警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LSVCC2C43KN149634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津A6165警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2012-11-8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LFMAP22C3C0420825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F104418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津A3399警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迈腾牌FV7187TE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206300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LFV3A13C073019865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036494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津A1202警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东南牌DN5020XQC4B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LDNC7CKH3A0153098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SGN7264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津A7977警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LSVCC2C46KN170767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津LZ7901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LFV2A11GXB3038255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474525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津A6215警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LGWEF4A56DF201904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1305525629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3"/>
        <w:gridCol w:w="1031"/>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津A6882警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大众牌SVW7167BMD</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2015-3-18</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107900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LSVNV4189F2013942</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219971</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津A6881警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大众牌SVW7167BMD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LSVNV4189F2013925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219976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津DV0128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帕萨特牌SVW71810HJ</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LSVCH2A48DN098137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LSVCC2C49KN149637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津A4867警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起亚牌YQZ6430A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LJDFAA14590050600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95007737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津C12T61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LSVAH20C6K2257512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津A6190警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依维柯牌NJ6493AT6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LNVU1CA34CVT02624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12K2403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津A3706警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丰田牌TV7160GMD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2009-2-12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LFMAP22C880090624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F826267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津A1692警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LFMAP22C9A0191385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F916832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津A6880警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大众牌SVW7167BMD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LSVNV4182F2010199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津A6293警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LGWEF4A58DF202682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津A9900警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LFMAPE2C3A0177337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E582768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津A9530警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大众汽车牌SVW71521DF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LSVAF40C1KN068203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津A7798警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LSVCC2C42KN149656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津A9400警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LSVAH20C5K2257453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305113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津A9351警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LFV2A23C6L3095764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U77297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津B382T1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大众汽车牌SVW71521DF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LSVAF40C6KN068150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A12322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津AGA163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东风日产牌DFL7168VAK1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2013-10-10</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LGBH52E0XDY105394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427157W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津A1986警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东南牌DN5020XQC4B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2011-3-29</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LDNC7CKH4B0155279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SJL0537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津A6879警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大众牌SVW7167BMD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LSVNV4188F2010076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津A4890警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丰田牌TV7161GLMD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LFMAPE2C2A0167558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E560458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津A9172警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LSVCC2C48KN149693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津C05U27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大众汽车牌SVW71421BT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LSVAH20C8K2257897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津A9127警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LFV2A23C0L3105852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U79930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津A6762警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货车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东风牌ZN6494HBN4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LJNMFEBK0EN079170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464930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tbl>
      <w:tblPr>
        <w:tblStyle w:val="19"/>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2475"/>
        <w:gridCol w:w="945"/>
        <w:gridCol w:w="1161"/>
        <w:gridCol w:w="2430"/>
        <w:gridCol w:w="1212"/>
        <w:gridCol w:w="1030"/>
        <w:gridCol w:w="1630"/>
        <w:gridCol w:w="1643"/>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726</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津A6763警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货车</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东风牌ZN6494HBN4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LJNMFEBK2EN079171</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464904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津A5795警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丰田牌TV7182GL-iM</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2010-10-12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LFMARE2C8A0289576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E681707</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津A6769警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大众牌FV7166FAAGG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137200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LFV2A21K4E4283500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N87574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津A6286警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长城牌CC6460RM01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2013-6-24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LGWEF4A58DF202522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1305008799</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津RPW578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越野(SUV)车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福特牌JX6491PA5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LJXDJ3CBXJTU32464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JAG022379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津A7782警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LSVCC2C44KN149710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津A6765警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东风牌ZN6494HBN4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LJNMFEBK4EN079169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464912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津A5444警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桑塔纳牌SVW71612BS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LSVAB2BRXEN044472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津A6768警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大众牌FV7166FAAGG</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137200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LFV2A21K5E4282811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N87205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津RTM625</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丰田牌TV7120GL</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2019-1-22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LFMA086C7J0322962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U280705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津A9265警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LSVCC2C44KN164899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津A6759警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LFMAP86C8E0056109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F568159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LFMAP86C1E0056940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F570129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津A5785警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丰田牌TV7182GL-iM</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2010-10-12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LFMARE2C4A0288778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E678912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津A7828警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LSVCC2C45KN149764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津C5J800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大众牌FV7150FCBBG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2019-9-24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LFV2A2BS4K4891222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J73585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津A7851警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大众牌FV7147FADCG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LFV2A23C1L3095851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U79853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津A3641警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丰田牌TV7164GMD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LFMAP22C4A0196638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E681197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津A6767警</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东风牌ZN6494HBN4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LJNMFEBK2EN079168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465632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津B225A0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雅阁牌HG7240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2004-6-24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259800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LHGCM566342016557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K24A42416562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津A0645警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依维柯牌NJ5045XQCNS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LNYRBKA38BV601757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11E0113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津A6758警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丰田牌TV7167GL5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2015-2-10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LFMAP86C8E0057647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F571373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津A1545警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捷达牌FV7160FG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2014-2-21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LFV2A11G8D3012272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868847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津A7750警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大众汽车牌SVW71423CT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LSVCC2C40KN149591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天津市滨海新区公安局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津B280A7</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小型客车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丰田牌TV7180GLX-i3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2006-4-18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162000</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LTVBR22E260733565</w:t>
            </w:r>
          </w:p>
        </w:tc>
        <w:tc>
          <w:tcPr>
            <w:tcW w:w="1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1ZZB33024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bl>
    <w:p>
      <w:pPr>
        <w:widowControl/>
        <w:jc w:val="left"/>
        <w:rPr>
          <w:sz w:val="24"/>
        </w:rPr>
        <w:sectPr>
          <w:pgSz w:w="16838" w:h="11906" w:orient="landscape"/>
          <w:pgMar w:top="1797" w:right="1440" w:bottom="1797" w:left="1440" w:header="851" w:footer="992" w:gutter="0"/>
          <w:pgNumType w:fmt="decimal"/>
          <w:cols w:space="425" w:num="1"/>
          <w:docGrid w:type="linesAndChars" w:linePitch="285" w:charSpace="-3449"/>
        </w:sectPr>
      </w:pPr>
    </w:p>
    <w:p>
      <w:pPr>
        <w:pStyle w:val="14"/>
        <w:rPr>
          <w:rFonts w:ascii="Times New Roman" w:hAnsi="Times New Roman"/>
        </w:rPr>
      </w:pPr>
      <w:r>
        <w:rPr>
          <w:rFonts w:ascii="Times New Roman" w:hAnsi="Times New Roman"/>
        </w:rPr>
        <w:t>第三部分供应商须知</w:t>
      </w:r>
    </w:p>
    <w:p>
      <w:pPr>
        <w:pStyle w:val="31"/>
        <w:spacing w:line="360" w:lineRule="auto"/>
        <w:jc w:val="center"/>
        <w:rPr>
          <w:rFonts w:ascii="Times New Roman" w:hAnsi="Times New Roman" w:eastAsia="宋体" w:cs="Times New Roman"/>
          <w:color w:val="auto"/>
        </w:rPr>
      </w:pPr>
      <w:bookmarkStart w:id="4" w:name="_Toc411426751"/>
    </w:p>
    <w:p>
      <w:pPr>
        <w:pStyle w:val="31"/>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A  说明</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 概述</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根据《中华人民共和国政府采购法》、《中华人民共和国政府采购法实施条例》等有关法律、法规和规章的规定，本采购项目已具备竞争性磋商条件。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本竞争性磋商文件仅适用于磋商邀请函中所叙述项目货物和服务的采购。</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参与磋商活动的所有各方，对在参与磋商过程中获悉的国家、商业和技术秘密以及其它依法应当保密的内容，均负有保密义务，违者应对由此造成的后果承担全部法律责任。</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定义</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“采购人”系指本次磋商活动的采购单位。“采购代理机构”系指组织本次磋商活动的机构，即“天津市滨海新区政府采购中心”。</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“投标人”系指向采购代理机构提交响应文件的供应商。</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eastAsia="宋体" w:cs="Times New Roman"/>
          <w:color w:val="auto"/>
        </w:rPr>
        <w:t>3. “服务”系指按本竞争性磋商文件规定供应商须承担的相关服务和竞争性磋商文件中规定供应商应承担的相关义务。</w:t>
      </w:r>
    </w:p>
    <w:p>
      <w:pPr>
        <w:pStyle w:val="31"/>
        <w:adjustRightInd/>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 解释权</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本次磋商的最终解释权归为采购人、采购代理机构。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本文件未作须知明示，而又有相关法律、法规规定的，采购人、采购代理机构将对此解释为依据有关法律、法规的规定。</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 合格的投标人</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符合《中华人民共和国政府采购法》第二十二条供应商参加政府采购活动应当具备的条件及其他有关法律、法规关于供应商的有关规定，有能力提供磋商采购货物及服务的供应商。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4.2 符合《磋商邀请函》中关于供应商资格要求（实质性要求）的规定。</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4.3 关于联合体参与磋商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《磋商邀请函》接受联合体参与磋商的：</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（1）两个以上的自然人、法人或者其他组织可以组成一个联合体，以一个供应商的身份共同参加政府采购。</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联合体各方均应当符合《政府采购法》第二十二条第一款规定的条件，根据采购项目的特殊要求规定投标人特定条件的，联合体各方中至少应当有一方符合《磋商邀请函》规定的供应商资格条件（实质性要求）。</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联合体各方之间应当签订共同投标协议并在响应文件内提交，明确约定联合体主体及联合体各方承担的工作和相应的责任。联合体各方签订共同投标协议后，不得再以自己名义单独在同一合同项下投标，也不得组成新的联合体参加同一合同项下的投标。</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w:t>
      </w:r>
      <w:r>
        <w:rPr>
          <w:rFonts w:hint="eastAsia" w:ascii="宋体" w:hAnsi="宋体" w:eastAsia="宋体" w:cs="Times New Roman"/>
        </w:rPr>
        <w:t>下载竞争性磋商文件时，应以联合体协议中确定的主体方名义下载。</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（5）联合体参与磋商的，应以主体方名义提交投标保证金（如有），对联合体各方均具有约束力。</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（7）联合体中任意一方为中小企业的，该方应提供《中小企业声明函》。</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（8）联合体各方应当共同与采购人签订采购合同，就采购合同约定的事项对采购人承担连带责任。</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4.4 关于关联企业</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除联合体外，法定代表人或单位负责人为同一个人或者存在直接控股、管理关系的不同供应商，不得同时参加同一项目或同一子项目的投标。如同时参加，则评审时将同时被拒绝。</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4.5 关于分公司参与磋商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4.6 关于提供前期服务的供应商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4.7 关于中小微企业参与磋商</w:t>
      </w:r>
    </w:p>
    <w:p>
      <w:pPr>
        <w:pStyle w:val="31"/>
        <w:spacing w:line="360" w:lineRule="auto"/>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中小微企业是指符合《政府采购促进中小企业发展管理办法》（财库[2020]46号）规定的供应商。中小微企业参与磋商应提供《中小企业声明函》。</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31"/>
        <w:spacing w:line="360" w:lineRule="auto"/>
        <w:ind w:firstLine="480" w:firstLineChars="200"/>
        <w:jc w:val="both"/>
        <w:rPr>
          <w:rFonts w:ascii="Times New Roman" w:hAnsi="Times New Roman" w:eastAsia="宋体" w:cs="Times New Roman"/>
          <w:color w:val="auto"/>
        </w:rPr>
      </w:pPr>
      <w:r>
        <w:rPr>
          <w:rFonts w:ascii="Times New Roman" w:hAnsi="Times New Roman" w:eastAsia="宋体" w:cs="Times New Roman"/>
          <w:color w:val="auto"/>
        </w:rPr>
        <w:t>根据《财政部民政部中国残疾人联合会关于促进残疾人就业政府采购政策的通知》（财库〔2017〕141号）的规定，残疾人福利性单位视同为小型、微型企业。</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 合格的货物和相关服务</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5.1 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5.2 除《磋商项目需求》有特殊规定外，投标人提供的货物应当是全新的、未使用过的，货物和相关服务应当符合竞争性磋商文件的要求，并且其质量完全符合国家标准、行业标准或地方标准。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投标人应当说明投标货物的来源地，如投标的货物非投标人生产或制造的，则交货时有义务提供其从合法途径获得该货物的相关证明。</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5.4 系统软件、通用软件必须是具有在中国境内的合法使用权或版权的正版软件，涉及到第三方提出侵权或知识产权的起诉及支付版税等费用由投标人承担所有责任及费用。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 投标费用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6.1 本项目不收取招标代理服务费。</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6.2 无论投标过程中的做法和结果如何，投标人自行承担所有与参加磋商有关的费用。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 信息发布</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本项目需要公开的有关信息，包括采购信息公告、更正公告、成交结果公告、终止公告等与磋商活动有关的通知，采购人、采购代理机构均将通过“</w:t>
      </w:r>
      <w:r>
        <w:rPr>
          <w:rFonts w:ascii="Times New Roman" w:hAnsi="Times New Roman" w:eastAsia="宋体" w:cs="Times New Roman"/>
          <w:color w:val="auto"/>
        </w:rPr>
        <w:t>天津政府采购网（http://tjgp.cz.tj.gov.cn）</w:t>
      </w:r>
      <w:r>
        <w:rPr>
          <w:rFonts w:hint="eastAsia" w:ascii="Times New Roman" w:hAnsi="Times New Roman" w:eastAsia="宋体" w:cs="Times New Roman"/>
          <w:color w:val="auto"/>
        </w:rPr>
        <w:t>”和“</w:t>
      </w:r>
      <w:r>
        <w:rPr>
          <w:rFonts w:ascii="Times New Roman" w:hAnsi="Times New Roman" w:eastAsia="宋体" w:cs="Times New Roman"/>
          <w:color w:val="auto"/>
        </w:rPr>
        <w:t>天津政府采购</w:t>
      </w:r>
      <w:r>
        <w:rPr>
          <w:rFonts w:hint="eastAsia" w:ascii="Times New Roman" w:hAnsi="Times New Roman" w:eastAsia="宋体" w:cs="Times New Roman"/>
          <w:color w:val="auto"/>
        </w:rPr>
        <w:t>中心</w:t>
      </w:r>
      <w:r>
        <w:rPr>
          <w:rFonts w:ascii="Times New Roman" w:hAnsi="Times New Roman" w:eastAsia="宋体" w:cs="Times New Roman"/>
          <w:color w:val="auto"/>
        </w:rPr>
        <w:t>网（http://tjgpc.zwfwb.tj.gov.cn）</w:t>
      </w:r>
      <w:r>
        <w:rPr>
          <w:rFonts w:hint="eastAsia" w:ascii="Times New Roman" w:hAnsi="Times New Roman" w:eastAsia="宋体" w:cs="Times New Roman"/>
          <w:color w:val="auto"/>
        </w:rPr>
        <w:t>”公开发布。投标人在参与本采购项目磋商活动期间，请及时关注上述媒体和天津市政府采购中心招投标系统“查看项目文件”的相关信息。因没有及时关注而未能如期获取相关信息，投标人自行</w:t>
      </w:r>
      <w:r>
        <w:rPr>
          <w:rFonts w:ascii="Times New Roman" w:hAnsi="Times New Roman" w:eastAsia="宋体" w:cs="Times New Roman"/>
          <w:color w:val="auto"/>
        </w:rPr>
        <w:t>承担由此可能产生的风险。</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滨海新区政府采购中心提出。</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（1）询问可以采取电话、当面或书面等形式。</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（2）采购人应当自收到供应商询问之日起3个工作日内作出答复，但答复的内容不得涉及商业秘密或者依法应当保密的内容。</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8.3 质疑</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（1）提出质疑的供应商应当是参与所质疑项目采购活动的供应商。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针对采购结果的质疑，供应商可通过天津市政府采购中心招投标系统“质疑”模块在线提出。</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滨海新区政府采购中心有权将质疑函转发质疑事项各关联方，请其作出解释说明。对捏造事实、滥用维权扰乱采购秩序的恶意质疑者，将上报天津市滨海新区财政局政府采购办公室依法处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针对询问或质疑的答复内容需要修改采购文件的，其修改内容应当以天津市政府采购网发布的更正公告为准。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 其他</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本《供应商须知》的条款如与《磋商邀请函》、《磋商项目需求》就同一内容的表述不一致的，以《磋商邀请函》、《磋商项目需求》中规定的内容为准。</w:t>
      </w:r>
    </w:p>
    <w:p>
      <w:pPr>
        <w:pStyle w:val="31"/>
        <w:spacing w:line="360" w:lineRule="auto"/>
        <w:ind w:firstLine="480" w:firstLineChars="200"/>
        <w:jc w:val="both"/>
        <w:rPr>
          <w:rFonts w:ascii="Times New Roman" w:hAnsi="Times New Roman" w:eastAsia="宋体" w:cs="Times New Roman"/>
          <w:color w:val="auto"/>
        </w:rPr>
      </w:pPr>
    </w:p>
    <w:p>
      <w:pPr>
        <w:pStyle w:val="31"/>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B  竞争性磋商文件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 竞争性磋商文件的构成</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10.1 竞争性磋商文件由下述部分组成：</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（1）磋商邀请函；</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（2）磋商项目要求；</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（3）供应商须知；</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（4）合同草案；</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（5）响应文件格式；</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（6）竞争性磋商文件的更正公告内容（如有）。</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10.2 除非有特殊要求，竞争性磋商文件不单独提供磋商项目使用地的自然环境、气候条件、公用设施等情况，投标人被视为熟悉上述与履行合同有关的一切情况。</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《磋商项目需求》加注“★”号条款为实质性技术条款，不得出现负偏离，发生负偏离即做无效标处理。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10.4 竞争性磋商文件中涉及的参照品牌、型号仅起说明作用，并没有任何限制性，投标人在投标中可以选用其他替代品牌或型号，但这些替代要实质上优于或相当于磋商要求。</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10.5 除竞争性磋商文件另有规定外，竞争性磋商文件中要求的每一项产品只允许一种产品投标，每一项产品的采购数量不允许变更。</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竞争性磋商文件的澄清和修改</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11.1 提交首次响应文件截止之日前，采购人、采购代理机构需要对磋商文件进行补充或修改的，采购人、采购代理机构将会通过“天津市政府采购网”、“天津市政府采购中心网”以更正公告形式发布。</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11.3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11.4 更正公告的内容为竞争性磋商文件的组成部分。当竞争性磋商文件与更正公告就同一内容的表述不一致时，以最后发出的更正公告内容为准。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11.5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答疑会和踏勘现场</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12.1 采购人、采购代理机构召开答疑会的，所有投标人应按《磋商邀请函》规定的时间、地点参加答疑会。投标人如不参加，其风险由投标人自行承担，采购人、采购代理机构不承担任何责任。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12.2 采购人、采购代理机构组织踏勘现场的，所有投标人按《磋商邀请函》规定的时间、地点参加踏勘现场活动。投标人如不参加，其风险由投标人自行承担，采购人、采购代理机构不承担任何责任。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pPr>
        <w:pStyle w:val="31"/>
        <w:spacing w:line="360" w:lineRule="auto"/>
        <w:ind w:firstLine="480" w:firstLineChars="200"/>
        <w:jc w:val="both"/>
        <w:rPr>
          <w:rFonts w:ascii="Times New Roman" w:hAnsi="Times New Roman" w:eastAsia="宋体" w:cs="Times New Roman"/>
          <w:color w:val="auto"/>
        </w:rPr>
      </w:pPr>
    </w:p>
    <w:p>
      <w:pPr>
        <w:pStyle w:val="31"/>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C  响应文件的编制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要求</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13.2 投标人应根据磋商项目需求和响应文件格式编制响应文件，保证其真实有效，并承担相应的法律责任。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 投标语言及计量单位</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14.2 除竞争性磋商文件中另有规定外，响应文件所使用的计量单位均应使用中华人民共和国法定计量单位。</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 响应文件格式</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15.1 投标人应按竞争性磋商文件第五部分提供的响应文件格式完整填写。因不按要求编制而引起系统无法检索、读取相关信息时，其后果由投标人自行承担。</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15.2 投标人可对本竞争性磋商文件“磋商项目要求”所列的所有货物进行投标，也可只对其中一包或几包的货物投标；若无特殊说明，每一包的内容不得分项投标，采购人原则上按照整包确定成交供应商。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15.3 如投标多个包的，要求按包分别独立制作响应文件。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15.4 响应文件（包括封面和目录）的每一页，从封面开始按阿拉伯数字1、2、3</w:t>
      </w:r>
      <w:r>
        <w:rPr>
          <w:rFonts w:hint="eastAsia" w:ascii="宋体" w:hAnsi="宋体" w:eastAsia="宋体" w:cs="Times New Roman"/>
          <w:color w:val="auto"/>
        </w:rPr>
        <w:t>…</w:t>
      </w:r>
      <w:r>
        <w:rPr>
          <w:rFonts w:hint="eastAsia" w:ascii="Times New Roman" w:hAnsi="Times New Roman" w:eastAsia="宋体" w:cs="Times New Roman"/>
          <w:color w:val="auto"/>
        </w:rPr>
        <w:t>顺序编制页码。</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 响应文件的组成</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16.1 按照《磋商邀请函》规定的时间分别上传加盖电子签章的两阶段电子响应文件。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 报价</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17.1 报价书、报价分项一览表等各表中的报价，若无特殊说明应采用人民币填报。</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17.2 报价是为完成竞争性磋商文件规定的一切工作所需的全部费用的最终优惠价格。</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17.3 除《磋商项目需求》中说明并允许外，投标的每一个货物、服务的单项报价以及采购项目的投标总价均只允许有一个报价，任何有选择的报价，采购人、采购代理机构均将予以拒绝。</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18. 投标人资格证明文件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投标人必须提交证明其有资格进行投标和有能力履行合同的文件，作为响应文件的一部分。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（1）《磋商邀请函》中规定的供应商资格要求（实质性要求）证明文件；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（2）若国家及行业对投标项目有特殊资格要求的，还须提供特殊资格证明文件；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（3）涉及本须知中“4. 合格的投标人”相关要求的，按其要求执行。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 技术响应文件</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19.1 投标人须提交证明其拟供货物符合竞争性磋商文件规定的技术响应文件，作为响应文件的一部分。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19.2 上述文件可以是文字资料、图纸或数据，并须提供：</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（1）货物主要技术性能的详细描述；</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（2）保证货物从采购人开始使用至竞争性磋商文件规定的保修期内正常和连续运转期间所需要的所有备件和专用工具的详细清单，包括其现行价格和供货来源资料；</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逐条对竞争性磋商文件要求的技术规格进行评议，并按竞争性磋商文件所附格式完整地填写《技术要求点对点应答表》，说明自己所投标的货物和相关服务内容与采购人、采购代理机构相应要求的偏离情况。</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19.3 响应文件中设备的性能指标应达到或优于竞争性磋商文件中所列技术指标。投标人应注意竞争性磋商文件中所列技术指标仅列出了最低限度。投标人在《技术要求点对点应答表》“项目需求书要求”的投标应答中必须列出具体数值或内容。如投标人未应答或只注明“符合”、“满足”等类似无具体内容的表述，将被视为不符合竞争性磋商文件要求。投标人自行承担由此造成的一切后果。</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 投标保证金</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20.1 按照《磋商项目需求》要求执行。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 符合《政府采购法实施条例》和《政府采购竞争性磋商采购方式管理暂行办法》相关规定。</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磋商有效期</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21.1 磋商有效期为响应文件开启之日起60天。响应书中规定的有效期短于竞争性磋商文件规定的，其投标将被拒绝。</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响应文件的签署及规定</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22.1 响应文件应按《磋商项目需求》和《响应文件格式》如实编写，未尽事宜可自行补充。响应文件内容不完整、格式不符合导致响应文件被误读、漏读或者查找不到相关内容的，投标人自行承担由此产生的风险。</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22.2 投标人按照《磋商邀请函》的要求提交网上应答并分别</w:t>
      </w:r>
      <w:r>
        <w:rPr>
          <w:rFonts w:hint="eastAsia" w:ascii="Times New Roman" w:hAnsi="Times New Roman" w:cs="Times New Roman" w:eastAsiaTheme="minorEastAsia"/>
          <w:color w:val="auto"/>
          <w:szCs w:val="32"/>
        </w:rPr>
        <w:t>上传加盖电子签章的第一、第二阶段电子响应文件（PDF格式）</w:t>
      </w:r>
      <w:r>
        <w:rPr>
          <w:rFonts w:hint="eastAsia" w:ascii="Times New Roman" w:hAnsi="Times New Roman" w:eastAsia="宋体" w:cs="Times New Roman"/>
          <w:color w:val="auto"/>
        </w:rPr>
        <w:t>（以通过天津公共资源电子签章客户端正确读取签章信息为准）。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22.3 响应文件因模糊不清或表达不清所引起的后果由投标人自负。</w:t>
      </w:r>
    </w:p>
    <w:p>
      <w:pPr>
        <w:pStyle w:val="31"/>
        <w:spacing w:line="360" w:lineRule="auto"/>
        <w:jc w:val="center"/>
        <w:rPr>
          <w:rFonts w:ascii="Times New Roman" w:hAnsi="Times New Roman" w:eastAsia="宋体" w:cs="Times New Roman"/>
          <w:color w:val="auto"/>
        </w:rPr>
      </w:pPr>
    </w:p>
    <w:p>
      <w:pPr>
        <w:pStyle w:val="31"/>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D  响应文件的网上应答和提交</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 投标人须于《磋商邀请函》规定的投标截止时间前提交网上应答并上传加盖电子签章的电子响应文件（以通过天津公共资源电子签章客户端正确读取签章信息为准）。具体方式：</w:t>
      </w:r>
      <w:r>
        <w:rPr>
          <w:rFonts w:ascii="Times New Roman" w:hAnsi="Times New Roman" w:eastAsia="宋体" w:cs="Times New Roman"/>
          <w:color w:val="auto"/>
        </w:rPr>
        <w:t>登陆</w:t>
      </w:r>
      <w:r>
        <w:rPr>
          <w:rFonts w:hint="eastAsia" w:ascii="Times New Roman" w:hAnsi="Times New Roman" w:eastAsia="宋体" w:cs="Times New Roman"/>
          <w:color w:val="auto"/>
        </w:rPr>
        <w:t>天津市政府采购中心网（网址：</w:t>
      </w:r>
      <w:r>
        <w:fldChar w:fldCharType="begin"/>
      </w:r>
      <w:r>
        <w:instrText xml:space="preserve"> HYPERLINK "http://tjgpc.cz.tj.gov.cn/" </w:instrText>
      </w:r>
      <w:r>
        <w:fldChar w:fldCharType="separate"/>
      </w:r>
      <w:r>
        <w:rPr>
          <w:rStyle w:val="25"/>
          <w:rFonts w:ascii="Times New Roman" w:hAnsi="Times New Roman" w:eastAsia="宋体" w:cs="Times New Roman"/>
        </w:rPr>
        <w:t>http://tjgpc.zwfwb.tj.gov.cn/</w:t>
      </w:r>
      <w:r>
        <w:rPr>
          <w:rStyle w:val="25"/>
          <w:rFonts w:ascii="Times New Roman" w:hAnsi="Times New Roman" w:eastAsia="宋体" w:cs="Times New Roman"/>
        </w:rPr>
        <w:fldChar w:fldCharType="end"/>
      </w:r>
      <w:r>
        <w:rPr>
          <w:rFonts w:hint="eastAsia" w:ascii="Times New Roman" w:hAnsi="Times New Roman" w:eastAsia="宋体" w:cs="Times New Roman"/>
          <w:color w:val="auto"/>
        </w:rPr>
        <w:t>）-“网上招投标”-“供应商登录”-“区级集采机构入口”，使用天津市中环认证服务有限公司发出的CA数字证书（原天津市电子认证中心发出尚在有效期内的CA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河东区红星路79号天津市政府采购中心窗口完成上述操作。</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 制作和上传电子响应文件要求</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24.1投标人须下载天津市政府采购中心网-下载中心-《远程招投标电子签章客户端用户使用说明及安装程序》。</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24.2投标人须按照竞争性磋商文件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PDF格式电子响应文件（以通过天津公共资源电子签章客户端正确读取签章信息为准），并于投标截止时间前上传至天津市政府采购中心招投标系统。</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特别提醒：</w:t>
      </w:r>
    </w:p>
    <w:p>
      <w:pPr>
        <w:pStyle w:val="31"/>
        <w:spacing w:line="360" w:lineRule="auto"/>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投标文件上传准确、有效。</w:t>
      </w:r>
    </w:p>
    <w:p>
      <w:pPr>
        <w:pStyle w:val="31"/>
        <w:spacing w:line="360" w:lineRule="auto"/>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2）投标人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投标无效。</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24.3投标人应保证电子响应文件清晰，便于识别，如因上传、扫描、格式等原因导致评审时受到影响，由投标人自行承担相应责任。</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24.4未按规定提交网上应答和上传加盖电子签章的电子响应文件的投标将被拒绝。</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25. 投标人须承诺接受电子投标的方式，并自行承担由此带来的废标、无效投标的风险。</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 未按竞争性磋商文件的规定提交网上应答和上传加盖投标人电子签章的PDF格式电子响应文件（以通过天津公共资源电子签章客户端正确读取签章信息为准）的投标将被拒绝。</w:t>
      </w:r>
    </w:p>
    <w:p>
      <w:pPr>
        <w:pStyle w:val="31"/>
        <w:spacing w:line="360" w:lineRule="auto"/>
        <w:ind w:firstLine="480" w:firstLineChars="200"/>
        <w:jc w:val="both"/>
        <w:rPr>
          <w:rFonts w:ascii="Times New Roman" w:hAnsi="Times New Roman" w:eastAsia="宋体" w:cs="Times New Roman"/>
          <w:color w:val="auto"/>
        </w:rPr>
      </w:pPr>
    </w:p>
    <w:p>
      <w:pPr>
        <w:pStyle w:val="31"/>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E  磋商程序</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26.磋商步骤</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26.1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31"/>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磋商小组要求供应商澄清、说明或者更正响应文件应当以书面形式做出。</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26.2 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对磋商文件做出的实质性变动是磋商文件的有效组成部分，磋商小组应当及时以书面形式同时通知所有参加磋商的供应商。</w:t>
      </w:r>
    </w:p>
    <w:p>
      <w:pPr>
        <w:pStyle w:val="31"/>
        <w:spacing w:line="360" w:lineRule="auto"/>
        <w:ind w:firstLine="480" w:firstLineChars="200"/>
        <w:jc w:val="both"/>
        <w:rPr>
          <w:rFonts w:ascii="Times New Roman" w:hAnsi="Times New Roman" w:eastAsia="宋体" w:cs="Times New Roman"/>
          <w:color w:val="auto"/>
          <w:kern w:val="2"/>
        </w:rPr>
      </w:pPr>
      <w:r>
        <w:rPr>
          <w:rFonts w:ascii="Times New Roman" w:hAnsi="Times New Roman" w:eastAsia="宋体" w:cs="Times New Roman"/>
          <w:color w:val="auto"/>
          <w:kern w:val="2"/>
        </w:rPr>
        <w:t>供应商应当按照磋商文件的变动情况和磋商小组的要求重新提交响应文件，</w:t>
      </w:r>
      <w:r>
        <w:rPr>
          <w:rFonts w:hint="eastAsia" w:ascii="Times New Roman" w:hAnsi="Times New Roman" w:eastAsia="宋体" w:cs="Times New Roman"/>
          <w:color w:val="auto"/>
          <w:kern w:val="2"/>
        </w:rPr>
        <w:t>应为PDF格式且</w:t>
      </w:r>
      <w:r>
        <w:rPr>
          <w:rFonts w:ascii="Times New Roman" w:hAnsi="Times New Roman" w:eastAsia="宋体" w:cs="Times New Roman"/>
          <w:color w:val="auto"/>
          <w:kern w:val="2"/>
        </w:rPr>
        <w:t>加盖</w:t>
      </w:r>
      <w:r>
        <w:rPr>
          <w:rFonts w:hint="eastAsia" w:ascii="Times New Roman" w:hAnsi="Times New Roman" w:eastAsia="宋体" w:cs="Times New Roman"/>
          <w:color w:val="auto"/>
          <w:kern w:val="2"/>
        </w:rPr>
        <w:t>电子签章</w:t>
      </w:r>
      <w:r>
        <w:rPr>
          <w:rFonts w:hint="eastAsia" w:ascii="Times New Roman" w:hAnsi="Times New Roman" w:eastAsia="宋体" w:cs="Times New Roman"/>
          <w:color w:val="auto"/>
        </w:rPr>
        <w:t>后于磋商小组规定的时间内通过天津市政府采购中心招投标系统“询标解答”上传至天津市政府采购中心招投标系统。</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未实质性响应磋商文件的响应文件按无效响应处理，磋商小组应当告知提交响应文件的供应商。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26.3 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26.4 第四步：经磋商确定最终采购需求和提交最后报价的供应商后，由磋商小组采用综合评分法对提交最后报价的供应商的响应文件和最后报价进行综合评分。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26.5 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26.6出现下列情形之一的，采购人或者采购代理机构应当终止竞争性磋商采购活动，发布项目终止公告并说明原因，重新开展采购活动：</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（1）因情况变化，不再符合规定的竞争性磋商采购方式适用情形的；</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（2）出现影响采购公正的违法、违规行为的；</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（3）除《政府采购竞争性磋商采购方式管理暂行办法》第二十一条第三款规定的情形外，在采购过程中符合要求的供应商或者报价未超过采购预算的供应商不足3家的。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26.7 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 评审方法及标准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27.1 磋商小组将根据竞争性磋商文件确定的评审原则和评审方法对确定为实质上响应竞争性磋商文件要求的投标进行评估和比较。</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27.2 磋商小组应当按照客观、公正、审慎的原则，根据竞争性磋商文件规定的评审程序、评审方法和评审标准进行独立评审。</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27.3 竞争性磋商文件内容违反国家有关强制性规定的，磋商小组应当停止评审并向采购人或者采购代理机构说明情况。</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27.4 对竞争性磋商文件中描述有歧义或前后不一致的地方，磋商小组有权进行评判，但对同一条款的评判应适用于每个投标人。</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27.5 评审方法</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31"/>
        <w:spacing w:line="360" w:lineRule="auto"/>
        <w:ind w:firstLine="480" w:firstLineChars="200"/>
        <w:jc w:val="both"/>
        <w:rPr>
          <w:rFonts w:ascii="Times New Roman" w:hAnsi="Times New Roman" w:eastAsia="宋体"/>
          <w:color w:val="auto"/>
        </w:rPr>
      </w:pPr>
      <w:r>
        <w:rPr>
          <w:rFonts w:hint="eastAsia" w:ascii="Times New Roman" w:hAnsi="Times New Roman" w:eastAsia="宋体" w:cs="Times New Roman"/>
          <w:color w:val="auto"/>
        </w:rPr>
        <w:t>（3）</w:t>
      </w:r>
      <w:r>
        <w:rPr>
          <w:rFonts w:hint="eastAsia" w:ascii="Times New Roman" w:hAnsi="Times New Roman" w:eastAsia="宋体"/>
          <w:color w:val="auto"/>
        </w:rPr>
        <w:t>按照《关于调整优化节能产品、环境标志产品政府采购执行机制的通知》（财库〔2019〕9号）文件要求，对</w:t>
      </w:r>
      <w:r>
        <w:rPr>
          <w:rFonts w:ascii="Times New Roman" w:hAnsi="Times New Roman" w:eastAsia="宋体"/>
          <w:color w:val="auto"/>
        </w:rPr>
        <w:t>政府采购节能、环境标志品目清单</w:t>
      </w:r>
      <w:r>
        <w:rPr>
          <w:rFonts w:hint="eastAsia" w:ascii="Times New Roman" w:hAnsi="Times New Roman" w:eastAsia="宋体"/>
          <w:color w:val="auto"/>
        </w:rPr>
        <w:t>内的产品实施优先采购和强制采购的评标方法。</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（4）磋商小组审查产品资质或检测报告等相关文件符合性时，应综合考虑行业特点、交易习惯、采购需求最本质原义等情况，而不应以响应文件中产品名称与竞争性磋商文件产品名称是否一致作为审查的标准。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（5）成交候选供应商产生办法：按得分由高到低顺序确定成交候选供应商；得分相同的，按投标报价由低到高顺序确定成交候选供应商；得分且投标报价相同的，按技术指标优劣顺序确定成交候选供应商。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（6）采购人按成交候选供应商顺序确定成交供应商，或授权磋商小组按成交候选供应商顺序直接确定成交供应商。</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27.6 出现以下任何情形取消磋商资格</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（1）响应文件未按竞争性磋商文件的要求加盖电子签章的；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（2）磋商有效期短于竞争性磋商文件要求的；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（3）响应文件中提供虚假或失实资料的；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（4）不能满足竞争性磋商文件中任何一条实质性要求或加注“★”号条款出现负偏离或经磋商小组认定未实质性响应竞争性磋商文件要求的或响应内容不符合相关强制性规定的；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（5）未按时进行网上解密或电子响应文件损坏、无效的；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（6）磋商报价超出采购预算的；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（7）存在串通情形的；</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（8）单位负责人或法定代表人为同一人，或者存在控股、管理关系的不同供应商，参加同一包或者未划分包的同一项目的，相关响应均无效；</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（9）其他法定响应无效的情形。</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 其他注意事项</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28.1 在磋商期间，投标人不得向磋商小组成员或采购代理机构询问评审情况、施加任何影响，不得进行旨在影响评审结果的活动。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pPr>
        <w:pStyle w:val="3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28.3 本项目不接受赠品、回扣或者与采购无关的其他商品、服务。</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28.4 如果几个投标人所投整包产品为同一品牌时，在服务承诺符合竞争性磋商文件的情况下，报价最低的投标人入围评审阶段。</w:t>
      </w:r>
    </w:p>
    <w:p>
      <w:pPr>
        <w:pStyle w:val="31"/>
        <w:spacing w:line="360" w:lineRule="auto"/>
        <w:ind w:firstLine="480" w:firstLineChars="200"/>
        <w:jc w:val="both"/>
        <w:rPr>
          <w:rFonts w:ascii="Times New Roman" w:hAnsi="Times New Roman" w:eastAsia="宋体" w:cs="Times New Roman"/>
          <w:color w:val="auto"/>
        </w:rPr>
      </w:pPr>
    </w:p>
    <w:p>
      <w:pPr>
        <w:pStyle w:val="31"/>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F  授予合同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 成交供应商的产生</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29.1 采购人可以事先授权磋商小组直接确定成交供应商。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29.2 采购人也可以按照《政府采购法》及其实施条例等法律法规的规定和竞争性磋商文件的要求确认成交供应商。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 成交通知</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30.1 成交公告发布同时，采购代理机构将通过天津市政府采购中心招投标系统以电子形式向成交供应商发出《成交通知书》（请使用天津市中环认证服务有限公司发出的CA数字证书（原天津市电子认证中心发出尚在有效期内的CA数字证书仍可使用）登陆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n）-“网上招投标”-“供应商登录”-“区级集采机构入口”，并从“供应商系统”的“查看项目文件”中获取）。《成交通知书》一经发出即发生法律效力。</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30.2 投标人可使用天津市中环认证服务有限公司发出的CA数字证书（原天津市电子认证中心发出尚在有效期内的CA数字证书仍可使用）登陆天津市政府采购中心网（网址：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网上招投标”-“供应商登录”-“区级集采机构入口”，并从“供应商系统”的“项目资审情况”中获取未通过资格审查的原因或从“供应商系统”的“查看排序和得分”中获取未成交人本人的评审得分与排序。</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签订合同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31.1 采购人与成交供应商应当在成交通知书发出之日起三十日内，按照竞争性磋商文件确定的事项签订政府采购合同。合同文本请使用天津市中环认证服务有限公司发出的CA数字证书（原天津市电子认证中心发出尚在有效期内的CA数字证书仍可使用）登陆天津市政府采购中心网（网址：</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）-“网上招投标”-“供应商登录”-“区级集采机构入口”，并从“供应商系统”的“合同”中获取。</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31.2 竞争性磋商文件、成交供应商的响应文件及其澄清文件等，均为签订合同的依据，且为合同的组成部分。</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履约保证金</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32.1 若《磋商项目需求》规定须提交履约保证金的，合同签订前，成交供应商须按照规定要求提交履约保证金，履约保证金的有效期至货到并最终验收合格之日。</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32.2 成交供应商未能按合同规定履行其义务，采购人有权没收履约保证金。</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33 成交供应商拒绝与采购人签订合同的，采购人可以按照评审报告推荐的成交候选人名单排序，确定下一候选人为成交供应商，也可以重新开展政府采购活动。</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 合同分包</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34.1 未经采购人同意，成交供应商不得分包合同。</w:t>
      </w:r>
    </w:p>
    <w:p>
      <w:pPr>
        <w:pStyle w:val="31"/>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34.2 政府采购合同分包履行的，成交供应商就采购项目和分包项目向采购人负责，分包供应商就分包项目承担责任。</w:t>
      </w:r>
    </w:p>
    <w:p>
      <w:pPr>
        <w:pStyle w:val="31"/>
        <w:spacing w:line="360" w:lineRule="auto"/>
        <w:ind w:firstLine="480" w:firstLineChars="200"/>
        <w:jc w:val="both"/>
        <w:rPr>
          <w:rFonts w:ascii="Times New Roman" w:hAnsi="Times New Roman" w:eastAsia="宋体" w:cs="Times New Roman"/>
          <w:color w:val="auto"/>
        </w:rPr>
      </w:pPr>
    </w:p>
    <w:p>
      <w:pPr>
        <w:pStyle w:val="31"/>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G 政府采购“明白纸”</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35. 政府采购“明白纸”</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35.1政府采购支持中小企业政策“明白纸”</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kern w:val="0"/>
          <w:sz w:val="24"/>
          <w:szCs w:val="24"/>
        </w:rPr>
        <w:t>1</w:t>
      </w:r>
      <w:r>
        <w:rPr>
          <w:rFonts w:hAnsiTheme="minorEastAsia"/>
          <w:kern w:val="0"/>
          <w:sz w:val="24"/>
          <w:szCs w:val="24"/>
        </w:rPr>
        <w:t>）《区财政局区发展改革委区住房建设委区交通运输局区水务局区政务服务办关于进一步贯彻落实政府采购支持中小企业政策的通知》（津滨财采[2022]8号）（以下简称通知）提出了哪些进一步支持中小企业的措施？</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一是阶段性提高政府采购工程面向中小企业预留份额。400万元以下的工程采购项目适宜由中小企业提供的应专门面向中小企业采购。超过400万元的工程采购项目中适宜由中小企业提供的，2022年下半年面向中小企业的预留份额由30%以上阶段性提高至40%以上。</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二是调整对小微企业的价格评审优惠幅度。货物服务采购项目给予小微企业的价格扣除优惠，由6%-10%提高至10-%20%。大中型企业与小微企业组成联合体或者大中型企业向小微企业分包的，评审优惠幅度由2%-3%提高至4%-6%。货物、服务采购项目适宜由中小企业提供的，以及大中型企业与小微企业组成联合体或者大中型企业向小微企业分包的，对小微企业给予价格扣除优惠时按照上述比例区间上限执行。</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rFonts w:hint="eastAsia"/>
          <w:kern w:val="0"/>
          <w:sz w:val="24"/>
          <w:szCs w:val="24"/>
        </w:rPr>
        <w:t>2</w:t>
      </w:r>
      <w:r>
        <w:rPr>
          <w:rFonts w:hAnsiTheme="minorEastAsia"/>
          <w:kern w:val="0"/>
          <w:sz w:val="24"/>
          <w:szCs w:val="24"/>
        </w:rPr>
        <w:t>）《通知》是如何降低中小企业参与政府采购成本的？</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《通知》在保证金收取、资金支付、合同融资等方面对支持中小企业也作出了规定，多措并举降低中小企业参与政府采购成本。</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一是明确政府采购项目不得在法律法规允许的收费项目及收费幅度之外收取任何保证金及其他费用。依法收取的保证金，应当允许以支票、汇票、本票、保函等非现金形式缴纳或提交。二是鼓励采购人、代理机构向供应商免费提供采购文件，政府集中采购机构应当免费提供采购文件。三是要求采购人严格按照合同约定和有关规定及时支付采购资金。四是鼓励建立预付款制度并提高预付款比例。五是要求采购人按照规定及时完整准确公开政府采购合同，积极配合中小企业开展合同融资。</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rFonts w:hint="eastAsia"/>
          <w:kern w:val="0"/>
          <w:sz w:val="24"/>
          <w:szCs w:val="24"/>
        </w:rPr>
        <w:t>3</w:t>
      </w:r>
      <w:r>
        <w:rPr>
          <w:rFonts w:hAnsiTheme="minorEastAsia"/>
          <w:kern w:val="0"/>
          <w:sz w:val="24"/>
          <w:szCs w:val="24"/>
        </w:rPr>
        <w:t>）怎样确保政策落实到位？</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一是强化政策宣传。政策印发后，新区财政局制定政府采购支持中小企业政策“明白纸”，细致解读政策内容，通过开展线上腾讯会议营商环境大讲堂对政策进行宣讲解读，提高中小企业政策知晓率。</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二是形成监督合力，新区财政、发展改革、住房城乡建设、交通运输、水务、政务服务等部门根据各自职责分工，积极调整完善执行工程招投标领域有关标准文本、评标制度等规定和做法，广泛开展政策宣贯，确保预留份额、评审优惠等政策措施在全口径政府采购工程项目中得到有效贯彻执行，提高中小企业合同规模。</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rFonts w:hint="eastAsia"/>
          <w:kern w:val="0"/>
          <w:sz w:val="24"/>
          <w:szCs w:val="24"/>
        </w:rPr>
        <w:t>4</w:t>
      </w:r>
      <w:r>
        <w:rPr>
          <w:rFonts w:hAnsiTheme="minorEastAsia"/>
          <w:kern w:val="0"/>
          <w:sz w:val="24"/>
          <w:szCs w:val="24"/>
        </w:rPr>
        <w:t>）中小企业怎样知晓采购项目是否面向中小企业？</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《政府采购促进中小企业发展管理办法》明确采购项目涉及中小企业采购的，预留份额、价格扣除比例或价格加分比例等内容应当在采购文件中明确。因此，中小企业可在采购文件中获取相关信息。</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rFonts w:hint="eastAsia"/>
          <w:kern w:val="0"/>
          <w:sz w:val="24"/>
          <w:szCs w:val="24"/>
        </w:rPr>
        <w:t>5</w:t>
      </w:r>
      <w:r>
        <w:rPr>
          <w:rFonts w:hAnsiTheme="minorEastAsia"/>
          <w:kern w:val="0"/>
          <w:sz w:val="24"/>
          <w:szCs w:val="24"/>
        </w:rPr>
        <w:t>）中小企业享受扶持政策应提供什么份证明材料？</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中小企业参与政府采购活动、享受扶持政策，只需要出具《中小企业声明函》作为中小企业身份证明文件，任何单位和个人不得要求中小企业供应商提交《中小企业声明函》之外的证明文件，或事先获得认定及进入名录库等。中小企业对其声明内容的真实性负责，声明函内容不实的，属于提供虚假材料谋取中标、成交，依照《中华人民共和国政府采购法》等国家有关规定追究相应责任。</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w:t>
      </w:r>
      <w:r>
        <w:rPr>
          <w:rFonts w:hint="eastAsia"/>
          <w:kern w:val="0"/>
          <w:sz w:val="24"/>
          <w:szCs w:val="24"/>
        </w:rPr>
        <w:t>6</w:t>
      </w:r>
      <w:r>
        <w:rPr>
          <w:rFonts w:hAnsiTheme="minorEastAsia"/>
          <w:kern w:val="0"/>
          <w:sz w:val="24"/>
          <w:szCs w:val="24"/>
        </w:rPr>
        <w:t>）企业不清楚自身是否为中小企业，怎么办？</w:t>
      </w:r>
    </w:p>
    <w:p>
      <w:pPr>
        <w:autoSpaceDE w:val="0"/>
        <w:autoSpaceDN w:val="0"/>
        <w:adjustRightInd w:val="0"/>
        <w:spacing w:line="360" w:lineRule="auto"/>
        <w:ind w:firstLine="480" w:firstLineChars="200"/>
        <w:rPr>
          <w:rFonts w:hAnsiTheme="minorEastAsia"/>
          <w:kern w:val="0"/>
          <w:sz w:val="24"/>
          <w:szCs w:val="24"/>
        </w:rPr>
      </w:pPr>
      <w:r>
        <w:rPr>
          <w:rFonts w:hAnsiTheme="minorEastAsia"/>
          <w:kern w:val="0"/>
          <w:sz w:val="24"/>
          <w:szCs w:val="24"/>
        </w:rPr>
        <w:t>关于企业标准的判定，参与政府采购的企业可根据《中小企业划型标准规定》（工信部联企业〔2011〕300号）要求判定是否为中小企业。此外，为方便广大中小企业、政府部门和社会公众识别企业规模类型，工业和信息化部组织开发了中小企业规模类型自测小程序，并于2020年2月27日上线运行，在国务院客户端和工业和信息化部网站上均有链接，广大中小企业和各类社会机构填写企业所属的行业和指标数据自动生成企业规模类型测试结果。</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35.2 滨海新区财政局</w:t>
      </w:r>
      <w:r>
        <w:rPr>
          <w:rFonts w:hint="eastAsia"/>
          <w:kern w:val="0"/>
          <w:sz w:val="24"/>
          <w:szCs w:val="24"/>
        </w:rPr>
        <w:t>“政采贷”</w:t>
      </w:r>
      <w:r>
        <w:rPr>
          <w:rFonts w:hint="eastAsia" w:hAnsiTheme="minorEastAsia"/>
          <w:kern w:val="0"/>
          <w:sz w:val="24"/>
          <w:szCs w:val="24"/>
        </w:rPr>
        <w:t>明白纸</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中小企业是建设现代化经济体系、实现经济高质量发展的重要基础，财政部、市财政局及新区财政局先后出台多项政府采购政策、办法扶持中小企业。为进一步支持中小企业参与政府采购活动，促进中小企业良性发展，新区财政局印发了《滨海新区财政局关于进一步优化政府采购营商环境的通知》，鼓励中小企业在签署政府采购合同前明确融资需求，在采购合同中细化收款账号等融资信息，切实缓解参与政府采购活动的中小企业资金周转压力。本“政采贷”明白纸遵循“市场主导、银企自愿、风险自担”原则，旨在向政府采购中有融资需求的潜在中标、成交供应商介绍“政采贷”业务。</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一、“政采贷”概念</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政采贷”即政府采购合同融资的简称，是金融机构以中小企业的诚信考量和信用审查为基础，基于其取得并提供的政府采购合同，按优惠贷款利率直接向中小企业发放贷款的一种融资方式。政采贷能有效减轻企业融资成本和负担，助力解决民营企业、中小企业“融资难、融资贵、资金不足”的困难。</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二、“政采贷”基本流程介绍</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“企业申请”-“银行接受申请”-“获取政采业务数据、订单信息、合同信息等”-“线下尽调、审核资质”-“银行风控评估”-“预授信”-“放款、提款”</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三、我市主要金融机构开通“政采贷”情况</w:t>
      </w:r>
    </w:p>
    <w:p>
      <w:pPr>
        <w:autoSpaceDE w:val="0"/>
        <w:autoSpaceDN w:val="0"/>
        <w:adjustRightInd w:val="0"/>
        <w:spacing w:line="360" w:lineRule="auto"/>
        <w:ind w:firstLine="480" w:firstLineChars="200"/>
        <w:rPr>
          <w:rFonts w:hAnsiTheme="minorEastAsia"/>
          <w:kern w:val="0"/>
          <w:sz w:val="24"/>
          <w:szCs w:val="24"/>
        </w:rPr>
      </w:pPr>
      <w:r>
        <w:rPr>
          <w:rFonts w:hint="eastAsia" w:hAnsiTheme="minorEastAsia"/>
          <w:kern w:val="0"/>
          <w:sz w:val="24"/>
          <w:szCs w:val="24"/>
        </w:rPr>
        <w:t>目前“政采贷”业务已经逐步在各大商业金融机构上线，未来我市主要金融机构“政采贷”业务将实现全覆盖，中标供应商可以根据自身情况自行选择。其中部分金融机构及咨询电话见下表(后续将持续更新)：</w:t>
      </w:r>
    </w:p>
    <w:tbl>
      <w:tblPr>
        <w:tblStyle w:val="19"/>
        <w:tblW w:w="8519" w:type="dxa"/>
        <w:tblInd w:w="93" w:type="dxa"/>
        <w:tblLayout w:type="fixed"/>
        <w:tblCellMar>
          <w:top w:w="0" w:type="dxa"/>
          <w:left w:w="108" w:type="dxa"/>
          <w:bottom w:w="0" w:type="dxa"/>
          <w:right w:w="108" w:type="dxa"/>
        </w:tblCellMar>
      </w:tblPr>
      <w:tblGrid>
        <w:gridCol w:w="492"/>
        <w:gridCol w:w="1001"/>
        <w:gridCol w:w="1292"/>
        <w:gridCol w:w="964"/>
        <w:gridCol w:w="3384"/>
        <w:gridCol w:w="1386"/>
      </w:tblGrid>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序号</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金融机构名称</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参考利率及额度</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现阶段面向范围</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申请条件</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咨询电话</w:t>
            </w:r>
          </w:p>
        </w:tc>
      </w:tr>
      <w:tr>
        <w:tblPrEx>
          <w:tblCellMar>
            <w:top w:w="0" w:type="dxa"/>
            <w:left w:w="108" w:type="dxa"/>
            <w:bottom w:w="0" w:type="dxa"/>
            <w:right w:w="108" w:type="dxa"/>
          </w:tblCellMar>
        </w:tblPrEx>
        <w:trPr>
          <w:trHeight w:val="312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1</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中国银行</w:t>
            </w:r>
          </w:p>
        </w:tc>
        <w:tc>
          <w:tcPr>
            <w:tcW w:w="1292" w:type="dxa"/>
            <w:tcBorders>
              <w:top w:val="single" w:color="000000" w:sz="4" w:space="0"/>
              <w:left w:val="single" w:color="000000" w:sz="4" w:space="0"/>
              <w:bottom w:val="single" w:color="000000" w:sz="4" w:space="0"/>
              <w:right w:val="single" w:color="000000" w:sz="4" w:space="0"/>
            </w:tcBorders>
            <w:vAlign w:val="bottom"/>
          </w:tcPr>
          <w:p>
            <w:pPr>
              <w:widowControl/>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textAlignment w:val="center"/>
              <w:rPr>
                <w:rFonts w:ascii="宋体" w:hAnsi="宋体" w:cs="宋体"/>
                <w:color w:val="000000"/>
                <w:kern w:val="0"/>
                <w:sz w:val="19"/>
                <w:szCs w:val="19"/>
              </w:rPr>
            </w:pPr>
            <w:r>
              <w:rPr>
                <w:rFonts w:hint="eastAsia" w:ascii="宋体" w:hAnsi="宋体" w:cs="宋体"/>
                <w:color w:val="000000"/>
                <w:kern w:val="0"/>
                <w:sz w:val="19"/>
                <w:szCs w:val="19"/>
              </w:rPr>
              <w:t>根据当期lpr进行综合核定，原则上不3.85%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textAlignment w:val="center"/>
              <w:rPr>
                <w:rFonts w:ascii="宋体" w:hAnsi="宋体" w:cs="宋体"/>
                <w:color w:val="000000"/>
                <w:sz w:val="19"/>
                <w:szCs w:val="19"/>
              </w:rPr>
            </w:pPr>
            <w:r>
              <w:rPr>
                <w:rFonts w:hint="eastAsia" w:ascii="宋体" w:hAnsi="宋体" w:cs="宋体"/>
                <w:color w:val="000000"/>
                <w:kern w:val="0"/>
                <w:sz w:val="19"/>
                <w:szCs w:val="19"/>
              </w:rPr>
              <w:t>小微企业不超过1000万元,大中型企业具体以政府采购金额为测算依据，无金额限制</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1、在政府采购中无不良履约记录；</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2、企业及其实际控制人、法定代表人、受益所有人等关联人员不存在涉及洗钱、恐怖融资、金融诈骗、偷逃税、侵犯知识产权等违法犯罪行为或违反制裁规定的行为；</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3、政府采购的参与主体、内容、程序、实施和管理机制及相关合同应符合国务院、财政部、银保监会等相关部门对于政府债务、融资平台、政府采购、政府预算管理等相关法律法规要求。</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 xml:space="preserve">27106030 </w:t>
            </w:r>
          </w:p>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吴楠</w:t>
            </w:r>
          </w:p>
        </w:tc>
      </w:tr>
      <w:tr>
        <w:tblPrEx>
          <w:tblCellMar>
            <w:top w:w="0" w:type="dxa"/>
            <w:left w:w="108" w:type="dxa"/>
            <w:bottom w:w="0" w:type="dxa"/>
            <w:right w:w="108" w:type="dxa"/>
          </w:tblCellMar>
        </w:tblPrEx>
        <w:trPr>
          <w:trHeight w:val="144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2</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邮储银行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约4.95%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不超过200万元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企业经营满一年以上，有一年以上政府中标历史记录，当前有生效政府中标订单，企业及法定代表人征信记录良好</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13820988723</w:t>
            </w:r>
            <w:r>
              <w:rPr>
                <w:rFonts w:hint="eastAsia" w:ascii="宋体" w:hAnsi="宋体" w:cs="宋体"/>
                <w:color w:val="000000"/>
                <w:kern w:val="0"/>
                <w:sz w:val="19"/>
                <w:szCs w:val="19"/>
              </w:rPr>
              <w:t>张日超</w:t>
            </w:r>
          </w:p>
        </w:tc>
      </w:tr>
      <w:tr>
        <w:tblPrEx>
          <w:tblCellMar>
            <w:top w:w="0" w:type="dxa"/>
            <w:left w:w="108" w:type="dxa"/>
            <w:bottom w:w="0" w:type="dxa"/>
            <w:right w:w="108" w:type="dxa"/>
          </w:tblCellMar>
        </w:tblPrEx>
        <w:trPr>
          <w:trHeight w:val="9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3</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光大银行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约4%</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不超过1000万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1.具有独立承担民事责任的能力，有固定经营场所，将我行账户作为政府采购合同唯一回款账户。</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2.企业成立1年以上，且实际控制人具有3年以上的实际行业经验，具有良好的纳税记录、工商登记记录；</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3.企业具有履行合同所必须的设备和服务能力；</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4.生产经营符合国家法律法规，产业政策和环境保护要求，符合我行信贷政策；</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5.人行征信信息查询系统查询显示借款人、实际控制人无重大不良记录，政府采购履约无不良记录。</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 xml:space="preserve">18722110192谢凝 </w:t>
            </w:r>
            <w:r>
              <w:rPr>
                <w:rFonts w:hint="eastAsia" w:ascii="宋体" w:hAnsi="宋体" w:cs="宋体"/>
                <w:color w:val="000000"/>
                <w:kern w:val="0"/>
                <w:sz w:val="19"/>
                <w:szCs w:val="19"/>
              </w:rPr>
              <w:t>18622858578</w:t>
            </w:r>
          </w:p>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马嵘</w:t>
            </w:r>
          </w:p>
        </w:tc>
      </w:tr>
      <w:tr>
        <w:tblPrEx>
          <w:tblCellMar>
            <w:top w:w="0" w:type="dxa"/>
            <w:left w:w="108" w:type="dxa"/>
            <w:bottom w:w="0" w:type="dxa"/>
            <w:right w:w="108" w:type="dxa"/>
          </w:tblCellMar>
        </w:tblPrEx>
        <w:trPr>
          <w:trHeight w:val="72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4</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浦发银行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约3.8%</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融资额度：不超过500万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1、申请人不得有失信记录；</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2、订单对应的政府采购部门在天津市，中标企业注册地在天津。</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13612152218</w:t>
            </w:r>
          </w:p>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刘扬</w:t>
            </w:r>
          </w:p>
        </w:tc>
      </w:tr>
      <w:tr>
        <w:tblPrEx>
          <w:tblCellMar>
            <w:top w:w="0" w:type="dxa"/>
            <w:left w:w="108" w:type="dxa"/>
            <w:bottom w:w="0" w:type="dxa"/>
            <w:right w:w="108" w:type="dxa"/>
          </w:tblCellMar>
        </w:tblPrEx>
        <w:trPr>
          <w:trHeight w:val="192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5</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齐鲁银行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4.50%起</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融资额度：</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不超过1000万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大中小微企业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1、获得政府采购订单，中标信息可在公开网站查询。如无法查询，可出示国家扶持政策内不公开中标信息文件。</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2、采购合同回款账户为齐鲁银行，并做质押登记。</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3、符合我行客户准入要求（同上一条）。</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022-23271885</w:t>
            </w:r>
          </w:p>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朱怡璇</w:t>
            </w:r>
          </w:p>
        </w:tc>
      </w:tr>
      <w:tr>
        <w:tblPrEx>
          <w:tblCellMar>
            <w:top w:w="0" w:type="dxa"/>
            <w:left w:w="108" w:type="dxa"/>
            <w:bottom w:w="0" w:type="dxa"/>
            <w:right w:w="108" w:type="dxa"/>
          </w:tblCellMar>
        </w:tblPrEx>
        <w:trPr>
          <w:trHeight w:val="144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6</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天津银行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不低于3.85%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不超过1000万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1、连续从事政府采购活动一年以上，或主要股东从事政府采购活动两年以上，且交易及信用记录良好；</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2、持有政府采购中标通知书、签订政府采购合同等资料。</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28405397</w:t>
            </w:r>
          </w:p>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王小一</w:t>
            </w:r>
          </w:p>
        </w:tc>
      </w:tr>
      <w:tr>
        <w:tblPrEx>
          <w:tblCellMar>
            <w:top w:w="0" w:type="dxa"/>
            <w:left w:w="108" w:type="dxa"/>
            <w:bottom w:w="0" w:type="dxa"/>
            <w:right w:w="108" w:type="dxa"/>
          </w:tblCellMar>
        </w:tblPrEx>
        <w:trPr>
          <w:trHeight w:val="216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7</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天津农商银行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结合借款人经营规模、偿债能力、营运效率等因素合理确定</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不超过5000万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大中小微企业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1、中标供应商财务状况良好，记录良好，有资质且具有1年(含)以上与天津市各类政府采购成功经验；</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2、生产经营符合国家政策；</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3、无违法、违约、不良信用记录，未发生过政府采购业务纠纷等；</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4、银行要求的其他条件。</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022-83872249</w:t>
            </w:r>
          </w:p>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林向宇</w:t>
            </w:r>
          </w:p>
        </w:tc>
      </w:tr>
      <w:tr>
        <w:tblPrEx>
          <w:tblCellMar>
            <w:top w:w="0" w:type="dxa"/>
            <w:left w:w="108" w:type="dxa"/>
            <w:bottom w:w="0" w:type="dxa"/>
            <w:right w:w="108" w:type="dxa"/>
          </w:tblCellMar>
        </w:tblPrEx>
        <w:trPr>
          <w:trHeight w:val="96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8</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天津滨海农商银行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致电咨询</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融资额度：100-5000万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大中小微企业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1、具有2年(含)以上连续经营记录；</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2、有固定生产经营场所；本行要求的其他条件。</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 xml:space="preserve">13612141823高飞     </w:t>
            </w:r>
          </w:p>
        </w:tc>
      </w:tr>
      <w:tr>
        <w:tblPrEx>
          <w:tblCellMar>
            <w:top w:w="0" w:type="dxa"/>
            <w:left w:w="108" w:type="dxa"/>
            <w:bottom w:w="0" w:type="dxa"/>
            <w:right w:w="108" w:type="dxa"/>
          </w:tblCellMar>
        </w:tblPrEx>
        <w:trPr>
          <w:trHeight w:val="3542"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9</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民生银行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参考利率：</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最低4%</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信用额度最高1000万</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信用+担保额度最高3000万</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1、企业成立满一年，经营良好、征信良好；</w:t>
            </w:r>
          </w:p>
          <w:p>
            <w:pPr>
              <w:widowControl/>
              <w:jc w:val="left"/>
              <w:textAlignment w:val="center"/>
              <w:rPr>
                <w:rFonts w:ascii="宋体" w:hAnsi="宋体" w:cs="宋体"/>
                <w:color w:val="000000"/>
                <w:kern w:val="0"/>
                <w:sz w:val="19"/>
                <w:szCs w:val="19"/>
              </w:rPr>
            </w:pPr>
            <w:r>
              <w:rPr>
                <w:rFonts w:hint="eastAsia" w:ascii="宋体" w:hAnsi="宋体" w:cs="宋体"/>
                <w:color w:val="000000"/>
                <w:kern w:val="0"/>
                <w:sz w:val="19"/>
                <w:szCs w:val="19"/>
              </w:rPr>
              <w:t>2、实控人25-65周岁，征信良好；</w:t>
            </w:r>
          </w:p>
          <w:p>
            <w:pPr>
              <w:widowControl/>
              <w:jc w:val="left"/>
              <w:textAlignment w:val="center"/>
              <w:rPr>
                <w:rFonts w:ascii="宋体" w:hAnsi="宋体" w:cs="宋体"/>
                <w:color w:val="000000"/>
                <w:sz w:val="19"/>
                <w:szCs w:val="19"/>
              </w:rPr>
            </w:pPr>
            <w:r>
              <w:rPr>
                <w:rFonts w:hint="eastAsia" w:ascii="宋体" w:hAnsi="宋体" w:cs="宋体"/>
                <w:color w:val="000000"/>
                <w:kern w:val="0"/>
                <w:sz w:val="19"/>
                <w:szCs w:val="19"/>
              </w:rPr>
              <w:t>3、近12个月有政府采购中标且正常履约、回款</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18102027371</w:t>
            </w:r>
          </w:p>
          <w:p>
            <w:pPr>
              <w:widowControl/>
              <w:jc w:val="center"/>
              <w:textAlignment w:val="center"/>
              <w:rPr>
                <w:rFonts w:ascii="宋体" w:hAnsi="宋体" w:cs="宋体"/>
                <w:color w:val="000000"/>
                <w:kern w:val="0"/>
                <w:sz w:val="19"/>
                <w:szCs w:val="19"/>
              </w:rPr>
            </w:pPr>
            <w:r>
              <w:rPr>
                <w:rFonts w:ascii="宋体" w:hAnsi="宋体" w:cs="宋体"/>
                <w:color w:val="000000"/>
                <w:kern w:val="0"/>
                <w:sz w:val="19"/>
                <w:szCs w:val="19"/>
              </w:rPr>
              <w:t xml:space="preserve">陈宗山 </w:t>
            </w:r>
          </w:p>
        </w:tc>
      </w:tr>
      <w:tr>
        <w:tblPrEx>
          <w:tblCellMar>
            <w:top w:w="0" w:type="dxa"/>
            <w:left w:w="108" w:type="dxa"/>
            <w:bottom w:w="0" w:type="dxa"/>
            <w:right w:w="108" w:type="dxa"/>
          </w:tblCellMar>
        </w:tblPrEx>
        <w:trPr>
          <w:trHeight w:val="2938"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9"/>
                <w:szCs w:val="19"/>
              </w:rPr>
            </w:pPr>
            <w:r>
              <w:rPr>
                <w:rFonts w:hint="eastAsia" w:ascii="宋体" w:hAnsi="宋体" w:cs="宋体"/>
                <w:color w:val="000000"/>
                <w:kern w:val="0"/>
                <w:sz w:val="19"/>
                <w:szCs w:val="19"/>
              </w:rPr>
              <w:t>10</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9"/>
                <w:szCs w:val="19"/>
              </w:rPr>
            </w:pPr>
            <w:r>
              <w:rPr>
                <w:rFonts w:hint="eastAsia" w:ascii="宋体" w:hAnsi="宋体" w:cs="宋体"/>
                <w:color w:val="000000"/>
                <w:kern w:val="0"/>
                <w:sz w:val="19"/>
                <w:szCs w:val="19"/>
              </w:rPr>
              <w:t>平安银行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约6.00%</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jc w:val="left"/>
              <w:rPr>
                <w:rFonts w:ascii="宋体" w:hAnsi="宋体" w:cs="宋体"/>
                <w:color w:val="000000"/>
                <w:sz w:val="19"/>
                <w:szCs w:val="19"/>
              </w:rPr>
            </w:pPr>
            <w:r>
              <w:rPr>
                <w:rFonts w:hint="eastAsia" w:ascii="宋体" w:hAnsi="宋体" w:cs="宋体"/>
                <w:color w:val="000000"/>
                <w:kern w:val="0"/>
                <w:sz w:val="19"/>
                <w:szCs w:val="19"/>
              </w:rPr>
              <w:t>最高200万元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9"/>
                <w:szCs w:val="19"/>
              </w:rPr>
            </w:pPr>
            <w:r>
              <w:rPr>
                <w:rFonts w:hint="eastAsia" w:ascii="宋体" w:hAnsi="宋体" w:cs="宋体"/>
                <w:color w:val="000000"/>
                <w:kern w:val="0"/>
                <w:sz w:val="19"/>
                <w:szCs w:val="19"/>
              </w:rPr>
              <w:t>大中小微企业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2632" w:type="dxa"/>
                  <w:shd w:val="clear" w:color="auto" w:fill="FFFFFF"/>
                  <w:tcMar>
                    <w:top w:w="150" w:type="dxa"/>
                    <w:left w:w="0" w:type="dxa"/>
                    <w:bottom w:w="150" w:type="dxa"/>
                    <w:right w:w="0" w:type="dxa"/>
                  </w:tcMar>
                </w:tcPr>
                <w:p>
                  <w:pPr>
                    <w:widowControl/>
                    <w:numPr>
                      <w:ilvl w:val="0"/>
                      <w:numId w:val="6"/>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申请人为企业法定代表人或第一大自然人股东，通过微信申请； </w:t>
                  </w:r>
                </w:p>
                <w:p>
                  <w:pPr>
                    <w:widowControl/>
                    <w:numPr>
                      <w:ilvl w:val="0"/>
                      <w:numId w:val="6"/>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企业及申请人信用记录良好，无不良、违法行为； </w:t>
                  </w:r>
                </w:p>
                <w:p>
                  <w:pPr>
                    <w:widowControl/>
                    <w:numPr>
                      <w:ilvl w:val="0"/>
                      <w:numId w:val="6"/>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企业为天津市政府部门、事业单位的供应商； </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4、企业有政府采购历史合作记录（近24个月2次，合计50万以上订单记录）且交易记录良好</w:t>
                  </w:r>
                </w:p>
              </w:tc>
            </w:tr>
          </w:tbl>
          <w:p>
            <w:pPr>
              <w:jc w:val="left"/>
              <w:rPr>
                <w:rFonts w:ascii="宋体" w:hAnsi="宋体" w:cs="宋体"/>
                <w:color w:val="00000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szCs w:val="24"/>
              </w:rPr>
            </w:pPr>
            <w:r>
              <w:rPr>
                <w:rFonts w:hint="eastAsia" w:ascii="宋体" w:hAnsi="宋体" w:cs="宋体"/>
                <w:color w:val="000000"/>
                <w:kern w:val="0"/>
                <w:sz w:val="19"/>
                <w:szCs w:val="19"/>
              </w:rPr>
              <w:t xml:space="preserve">18698167095张伟 </w:t>
            </w:r>
          </w:p>
        </w:tc>
      </w:tr>
      <w:tr>
        <w:tblPrEx>
          <w:tblCellMar>
            <w:top w:w="0" w:type="dxa"/>
            <w:left w:w="108" w:type="dxa"/>
            <w:bottom w:w="0" w:type="dxa"/>
            <w:right w:w="108" w:type="dxa"/>
          </w:tblCellMar>
        </w:tblPrEx>
        <w:trPr>
          <w:trHeight w:val="273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11</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渤海银行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年化约3.85%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jc w:val="left"/>
              <w:rPr>
                <w:rFonts w:ascii="宋体" w:hAnsi="宋体" w:cs="宋体"/>
                <w:color w:val="000000"/>
                <w:sz w:val="19"/>
                <w:szCs w:val="19"/>
              </w:rPr>
            </w:pPr>
            <w:r>
              <w:rPr>
                <w:rFonts w:hint="eastAsia" w:ascii="宋体" w:hAnsi="宋体" w:cs="宋体"/>
                <w:color w:val="000000"/>
                <w:kern w:val="0"/>
                <w:sz w:val="19"/>
                <w:szCs w:val="19"/>
              </w:rPr>
              <w:t>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2632" w:type="dxa"/>
                  <w:shd w:val="clear" w:color="auto" w:fill="FFFFFF"/>
                  <w:tcMar>
                    <w:top w:w="150" w:type="dxa"/>
                    <w:left w:w="0" w:type="dxa"/>
                    <w:bottom w:w="150" w:type="dxa"/>
                    <w:right w:w="0" w:type="dxa"/>
                  </w:tcMar>
                </w:tcPr>
                <w:p>
                  <w:pPr>
                    <w:widowControl/>
                    <w:numPr>
                      <w:ilvl w:val="0"/>
                      <w:numId w:val="7"/>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有固定的经营场所，企业划型符合小微企业； </w:t>
                  </w:r>
                </w:p>
                <w:p>
                  <w:pPr>
                    <w:widowControl/>
                    <w:numPr>
                      <w:ilvl w:val="0"/>
                      <w:numId w:val="7"/>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信用记录良好，无不良、违法行为； </w:t>
                  </w:r>
                </w:p>
                <w:p>
                  <w:pPr>
                    <w:widowControl/>
                    <w:numPr>
                      <w:ilvl w:val="0"/>
                      <w:numId w:val="7"/>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持续经营2年以上或实际控制人从业3年以上； 具备政府采购投标资格且交易记录良好； </w:t>
                  </w:r>
                </w:p>
                <w:p>
                  <w:pPr>
                    <w:widowControl/>
                    <w:numPr>
                      <w:ilvl w:val="0"/>
                      <w:numId w:val="7"/>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采购项目符合国家产业政策和资源环保政策要求；</w:t>
                  </w: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022-58879322</w:t>
            </w:r>
          </w:p>
          <w:p>
            <w:pPr>
              <w:ind w:firstLine="190" w:firstLineChars="100"/>
              <w:jc w:val="left"/>
              <w:rPr>
                <w:rFonts w:ascii="宋体" w:hAnsi="宋体" w:cs="宋体"/>
                <w:color w:val="000000"/>
                <w:kern w:val="0"/>
                <w:sz w:val="19"/>
                <w:szCs w:val="19"/>
              </w:rPr>
            </w:pPr>
            <w:r>
              <w:rPr>
                <w:rFonts w:hint="eastAsia" w:ascii="宋体" w:hAnsi="宋体" w:cs="宋体"/>
                <w:color w:val="000000"/>
                <w:kern w:val="0"/>
                <w:sz w:val="19"/>
                <w:szCs w:val="19"/>
              </w:rPr>
              <w:t xml:space="preserve">  姚斌 </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12</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中国建设银行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参考利率：4.00%-5.00%</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jc w:val="left"/>
              <w:rPr>
                <w:rFonts w:ascii="宋体" w:hAnsi="宋体" w:cs="宋体"/>
                <w:color w:val="000000"/>
                <w:kern w:val="0"/>
                <w:sz w:val="19"/>
                <w:szCs w:val="19"/>
              </w:rPr>
            </w:pPr>
            <w:r>
              <w:rPr>
                <w:rFonts w:hint="eastAsia" w:ascii="宋体" w:hAnsi="宋体" w:cs="宋体"/>
                <w:color w:val="000000"/>
                <w:kern w:val="0"/>
                <w:sz w:val="19"/>
                <w:szCs w:val="19"/>
              </w:rPr>
              <w:t>最高2000万元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2632" w:type="dxa"/>
                  <w:shd w:val="clear" w:color="auto" w:fill="FFFFFF"/>
                  <w:tcMar>
                    <w:top w:w="150" w:type="dxa"/>
                    <w:left w:w="0" w:type="dxa"/>
                    <w:bottom w:w="150" w:type="dxa"/>
                    <w:right w:w="0" w:type="dxa"/>
                  </w:tcMar>
                </w:tcPr>
                <w:p>
                  <w:pPr>
                    <w:widowControl/>
                    <w:numPr>
                      <w:ilvl w:val="0"/>
                      <w:numId w:val="8"/>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企业已获得政府采购中标通知，并与集中采购机构、采购代理机构或采购人签订采购合同，企业不得采用分包或转包方式履行政府采购合同。政府采购合同明确了《合同法》规定的基本要素并符合商业惯例和行业规范，政府采购履约期限和付款期限距贷款申请日均在1年（含）以内。 </w:t>
                  </w:r>
                </w:p>
                <w:p>
                  <w:pPr>
                    <w:widowControl/>
                    <w:numPr>
                      <w:ilvl w:val="0"/>
                      <w:numId w:val="8"/>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应收账款融资模式下，企业已按政府采购合同的约定履行了交货、工程施工或提供服务等主要义务并且无任何违约行为。 </w:t>
                  </w:r>
                </w:p>
                <w:p>
                  <w:pPr>
                    <w:widowControl/>
                    <w:numPr>
                      <w:ilvl w:val="0"/>
                      <w:numId w:val="8"/>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采购合同融资模式下，企业在政府采购活动中与政府成功合作2年（含）以上，且近2年政府采购供应量、工程量或服务量均不低于100万元（含）。 </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4、（四）企业向政府提供的货物、工程或服务质量稳定，与政府合作历史中未产生纠纷，与上、下游客户未发生重大债权、债务纠纷，近三年未被政府采购部门列入不良记录名单</w:t>
                  </w: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kern w:val="0"/>
                <w:sz w:val="19"/>
                <w:szCs w:val="19"/>
              </w:rPr>
            </w:pPr>
            <w:r>
              <w:rPr>
                <w:rFonts w:hint="eastAsia" w:ascii="宋体" w:hAnsi="宋体" w:cs="宋体"/>
                <w:color w:val="000000"/>
                <w:kern w:val="0"/>
                <w:sz w:val="19"/>
                <w:szCs w:val="19"/>
              </w:rPr>
              <w:t xml:space="preserve">58751595 </w:t>
            </w:r>
          </w:p>
          <w:p>
            <w:pPr>
              <w:jc w:val="center"/>
              <w:rPr>
                <w:rFonts w:ascii="宋体" w:hAnsi="宋体" w:cs="宋体"/>
                <w:color w:val="000000"/>
                <w:kern w:val="0"/>
                <w:sz w:val="19"/>
                <w:szCs w:val="19"/>
              </w:rPr>
            </w:pPr>
            <w:r>
              <w:rPr>
                <w:rFonts w:hint="eastAsia" w:ascii="宋体" w:hAnsi="宋体" w:cs="宋体"/>
                <w:color w:val="000000"/>
                <w:kern w:val="0"/>
                <w:sz w:val="19"/>
                <w:szCs w:val="19"/>
              </w:rPr>
              <w:t xml:space="preserve"> 赵望宇 </w:t>
            </w:r>
          </w:p>
          <w:p>
            <w:pPr>
              <w:jc w:val="center"/>
              <w:rPr>
                <w:rFonts w:ascii="宋体" w:hAnsi="宋体" w:cs="宋体"/>
                <w:color w:val="000000"/>
                <w:kern w:val="0"/>
                <w:sz w:val="19"/>
                <w:szCs w:val="19"/>
              </w:rPr>
            </w:pPr>
            <w:r>
              <w:rPr>
                <w:rFonts w:hint="eastAsia" w:ascii="宋体" w:hAnsi="宋体" w:cs="宋体"/>
                <w:color w:val="000000"/>
                <w:kern w:val="0"/>
                <w:sz w:val="19"/>
                <w:szCs w:val="19"/>
              </w:rPr>
              <w:t>58750209</w:t>
            </w:r>
          </w:p>
          <w:p>
            <w:pPr>
              <w:jc w:val="center"/>
              <w:rPr>
                <w:rFonts w:ascii="宋体" w:hAnsi="宋体" w:cs="宋体"/>
                <w:color w:val="000000"/>
                <w:kern w:val="0"/>
                <w:sz w:val="19"/>
                <w:szCs w:val="19"/>
              </w:rPr>
            </w:pPr>
            <w:r>
              <w:rPr>
                <w:rFonts w:hint="eastAsia" w:ascii="宋体" w:hAnsi="宋体" w:cs="宋体"/>
                <w:color w:val="000000"/>
                <w:kern w:val="0"/>
                <w:sz w:val="19"/>
                <w:szCs w:val="19"/>
              </w:rPr>
              <w:t xml:space="preserve">肖毅 </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13</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中国农业银行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约4%</w:t>
            </w:r>
          </w:p>
          <w:p>
            <w:pPr>
              <w:jc w:val="left"/>
              <w:rPr>
                <w:rFonts w:ascii="宋体" w:hAnsi="宋体" w:cs="宋体"/>
                <w:color w:val="000000"/>
                <w:kern w:val="0"/>
                <w:sz w:val="19"/>
                <w:szCs w:val="19"/>
              </w:rPr>
            </w:pPr>
            <w:r>
              <w:rPr>
                <w:rFonts w:hint="eastAsia" w:ascii="宋体" w:hAnsi="宋体" w:cs="宋体"/>
                <w:color w:val="000000"/>
                <w:kern w:val="0"/>
                <w:sz w:val="19"/>
                <w:szCs w:val="19"/>
              </w:rPr>
              <w:t>融资额度：最高1000万元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3007" w:type="dxa"/>
                  <w:shd w:val="clear" w:color="auto" w:fill="FFFFFF"/>
                  <w:tcMar>
                    <w:top w:w="150" w:type="dxa"/>
                    <w:left w:w="0" w:type="dxa"/>
                    <w:bottom w:w="150" w:type="dxa"/>
                    <w:right w:w="0" w:type="dxa"/>
                  </w:tcMa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1、公司成立1年（含）以上，属于政采中标供应商,履约记录良好。 </w:t>
                  </w:r>
                </w:p>
                <w:p>
                  <w:pPr>
                    <w:widowControl/>
                    <w:numPr>
                      <w:ilvl w:val="0"/>
                      <w:numId w:val="9"/>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在我行开立账户，自愿接受农业银行信用监督和结算监管。 </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3、法定代表人年满18周岁且不超过65周岁，非港、澳、台及外籍人士。 注：具体开办的业务种类及办理程序、办理条件等以中国农业银行当地分行有关规定为准。</w:t>
                  </w: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13920727755</w:t>
            </w:r>
          </w:p>
          <w:p>
            <w:pPr>
              <w:jc w:val="center"/>
              <w:rPr>
                <w:rFonts w:ascii="宋体" w:hAnsi="宋体" w:cs="宋体"/>
                <w:color w:val="000000"/>
                <w:kern w:val="0"/>
                <w:sz w:val="19"/>
                <w:szCs w:val="19"/>
              </w:rPr>
            </w:pPr>
            <w:r>
              <w:rPr>
                <w:rFonts w:hint="eastAsia" w:ascii="宋体" w:hAnsi="宋体" w:cs="宋体"/>
                <w:color w:val="000000"/>
                <w:kern w:val="0"/>
                <w:sz w:val="19"/>
                <w:szCs w:val="19"/>
              </w:rPr>
              <w:t>李倩</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14</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招商银行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一般性贷款利率</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融资额度：最高3000万元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大中小微企业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3007" w:type="dxa"/>
                  <w:shd w:val="clear" w:color="auto" w:fill="FFFFFF"/>
                  <w:tcMar>
                    <w:top w:w="150" w:type="dxa"/>
                    <w:left w:w="0" w:type="dxa"/>
                    <w:bottom w:w="150" w:type="dxa"/>
                    <w:right w:w="0" w:type="dxa"/>
                  </w:tcMar>
                </w:tcPr>
                <w:p>
                  <w:pPr>
                    <w:widowControl/>
                    <w:jc w:val="left"/>
                    <w:textAlignment w:val="top"/>
                    <w:rPr>
                      <w:rFonts w:ascii="����" w:hAnsi="����" w:eastAsia="����" w:cs="����"/>
                      <w:color w:val="333333"/>
                      <w:sz w:val="24"/>
                      <w:szCs w:val="24"/>
                    </w:rPr>
                  </w:pPr>
                  <w:r>
                    <w:rPr>
                      <w:rFonts w:hint="eastAsia" w:ascii="宋体" w:hAnsi="宋体" w:cs="宋体"/>
                      <w:color w:val="000000"/>
                      <w:kern w:val="0"/>
                      <w:sz w:val="19"/>
                      <w:szCs w:val="19"/>
                    </w:rPr>
                    <w:t>1、企业及实际控制人征信及各项社会记录较好。</w:t>
                  </w:r>
                </w:p>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2、企业成立两年以上或实际控制人本行业经营两年以上。</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3、财务报表未出现连续两年经营亏损。</w:t>
                  </w: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kern w:val="0"/>
                <w:sz w:val="19"/>
                <w:szCs w:val="19"/>
              </w:rPr>
            </w:pPr>
            <w:r>
              <w:rPr>
                <w:rFonts w:hint="eastAsia" w:ascii="宋体" w:hAnsi="宋体" w:cs="宋体"/>
                <w:color w:val="000000"/>
                <w:kern w:val="0"/>
                <w:sz w:val="19"/>
                <w:szCs w:val="19"/>
              </w:rPr>
              <w:t>28301244</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15</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兴业银行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利率3.7%起</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w:t>
            </w:r>
          </w:p>
          <w:p>
            <w:pPr>
              <w:jc w:val="left"/>
              <w:rPr>
                <w:rFonts w:ascii="宋体" w:hAnsi="宋体" w:cs="宋体"/>
                <w:color w:val="000000"/>
                <w:kern w:val="0"/>
                <w:sz w:val="19"/>
                <w:szCs w:val="19"/>
              </w:rPr>
            </w:pPr>
            <w:r>
              <w:rPr>
                <w:rFonts w:hint="eastAsia" w:ascii="宋体" w:hAnsi="宋体" w:cs="宋体"/>
                <w:color w:val="000000"/>
                <w:kern w:val="0"/>
                <w:sz w:val="19"/>
                <w:szCs w:val="19"/>
              </w:rPr>
              <w:t>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3017" w:type="dxa"/>
                  <w:shd w:val="clear" w:color="auto" w:fill="FFFFFF"/>
                  <w:tcMar>
                    <w:top w:w="150" w:type="dxa"/>
                    <w:left w:w="0" w:type="dxa"/>
                    <w:bottom w:w="150" w:type="dxa"/>
                    <w:right w:w="0" w:type="dxa"/>
                  </w:tcMar>
                </w:tcPr>
                <w:p>
                  <w:pPr>
                    <w:widowControl/>
                    <w:jc w:val="left"/>
                    <w:textAlignment w:val="top"/>
                    <w:rPr>
                      <w:rFonts w:ascii="����" w:hAnsi="����" w:eastAsia="����" w:cs="����"/>
                      <w:color w:val="333333"/>
                      <w:sz w:val="24"/>
                      <w:szCs w:val="24"/>
                    </w:rPr>
                  </w:pPr>
                  <w:r>
                    <w:rPr>
                      <w:rFonts w:ascii="����" w:hAnsi="����" w:eastAsia="����" w:cs="����"/>
                      <w:color w:val="333333"/>
                      <w:kern w:val="0"/>
                      <w:sz w:val="24"/>
                      <w:szCs w:val="24"/>
                    </w:rPr>
                    <w:br w:type="textWrapping"/>
                  </w:r>
                  <w:r>
                    <w:rPr>
                      <w:rFonts w:hint="eastAsia" w:ascii="宋体" w:hAnsi="宋体" w:cs="宋体"/>
                      <w:color w:val="000000"/>
                      <w:kern w:val="0"/>
                      <w:sz w:val="19"/>
                      <w:szCs w:val="19"/>
                    </w:rPr>
                    <w:t>合法合规经营、符合本行授信要求、无不利诉讼纠纷、存在政府采购项目且履约记录良好</w:t>
                  </w:r>
                </w:p>
              </w:tc>
            </w:tr>
            <w:tr>
              <w:tblPrEx>
                <w:tblCellMar>
                  <w:top w:w="15" w:type="dxa"/>
                  <w:left w:w="15" w:type="dxa"/>
                  <w:bottom w:w="15" w:type="dxa"/>
                  <w:right w:w="15" w:type="dxa"/>
                </w:tblCellMar>
              </w:tblPrEx>
              <w:tc>
                <w:tcPr>
                  <w:tcW w:w="3017" w:type="dxa"/>
                  <w:shd w:val="clear" w:color="auto" w:fill="FFFFFF"/>
                  <w:tcMar>
                    <w:top w:w="150" w:type="dxa"/>
                    <w:left w:w="0" w:type="dxa"/>
                    <w:bottom w:w="150" w:type="dxa"/>
                    <w:right w:w="0" w:type="dxa"/>
                  </w:tcMar>
                </w:tcPr>
                <w:p>
                  <w:pPr>
                    <w:widowControl/>
                    <w:jc w:val="left"/>
                    <w:textAlignment w:val="top"/>
                    <w:rPr>
                      <w:rFonts w:ascii="����" w:hAnsi="����" w:eastAsia="����" w:cs="����"/>
                      <w:color w:val="333333"/>
                      <w:kern w:val="0"/>
                      <w:sz w:val="24"/>
                      <w:szCs w:val="24"/>
                    </w:rPr>
                  </w:pP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 xml:space="preserve">022/23526678/222112 </w:t>
            </w:r>
          </w:p>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武庆林</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16</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广发银行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贷款利率最低Lpr</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rPr>
                <w:trHeight w:val="3660" w:hRule="atLeast"/>
              </w:trPr>
              <w:tc>
                <w:tcPr>
                  <w:tcW w:w="3017" w:type="dxa"/>
                  <w:shd w:val="clear" w:color="auto" w:fill="FFFFFF"/>
                  <w:tcMar>
                    <w:top w:w="150" w:type="dxa"/>
                    <w:left w:w="0" w:type="dxa"/>
                    <w:bottom w:w="150" w:type="dxa"/>
                    <w:right w:w="0" w:type="dxa"/>
                  </w:tcMa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1、供应商至少有一次政府采购订单履约记录；</w:t>
                  </w:r>
                </w:p>
                <w:p>
                  <w:pPr>
                    <w:widowControl/>
                    <w:numPr>
                      <w:ilvl w:val="0"/>
                      <w:numId w:val="9"/>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在我行内部信用评级不低于BB+；3、近三年至少有一期营业利润或净利润或上年度经营性现金流净额为正（任选其一即可）；</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4、资产负债率不超过85%；企业主含实际控制人/主要股东或其配偶拥有本地户口或房产或在本地有连续一年含以上的社保缴交记录（满足其一即可）</w:t>
                  </w:r>
                </w:p>
              </w:tc>
            </w:tr>
            <w:tr>
              <w:tblPrEx>
                <w:tblCellMar>
                  <w:top w:w="15" w:type="dxa"/>
                  <w:left w:w="15" w:type="dxa"/>
                  <w:bottom w:w="15" w:type="dxa"/>
                  <w:right w:w="15" w:type="dxa"/>
                </w:tblCellMar>
              </w:tblPrEx>
              <w:trPr>
                <w:trHeight w:val="90" w:hRule="atLeast"/>
              </w:trPr>
              <w:tc>
                <w:tcPr>
                  <w:tcW w:w="3017" w:type="dxa"/>
                  <w:shd w:val="clear" w:color="auto" w:fill="FFFFFF"/>
                  <w:tcMar>
                    <w:top w:w="150" w:type="dxa"/>
                    <w:left w:w="0" w:type="dxa"/>
                    <w:bottom w:w="150" w:type="dxa"/>
                    <w:right w:w="0" w:type="dxa"/>
                  </w:tcMar>
                </w:tcPr>
                <w:p>
                  <w:pPr>
                    <w:widowControl/>
                    <w:jc w:val="left"/>
                    <w:textAlignment w:val="top"/>
                    <w:rPr>
                      <w:rFonts w:ascii="宋体" w:hAnsi="宋体" w:cs="宋体"/>
                      <w:color w:val="000000"/>
                      <w:kern w:val="0"/>
                      <w:sz w:val="19"/>
                      <w:szCs w:val="19"/>
                    </w:rPr>
                  </w:pPr>
                </w:p>
              </w:tc>
            </w:tr>
            <w:tr>
              <w:tc>
                <w:tcPr>
                  <w:tcW w:w="3017" w:type="dxa"/>
                  <w:shd w:val="clear" w:color="auto" w:fill="FFFFFF"/>
                  <w:tcMar>
                    <w:top w:w="150" w:type="dxa"/>
                    <w:left w:w="0" w:type="dxa"/>
                    <w:bottom w:w="150" w:type="dxa"/>
                    <w:right w:w="0" w:type="dxa"/>
                  </w:tcMar>
                </w:tcPr>
                <w:p>
                  <w:pPr>
                    <w:widowControl/>
                    <w:jc w:val="left"/>
                    <w:textAlignment w:val="top"/>
                    <w:rPr>
                      <w:rFonts w:ascii="宋体" w:hAnsi="宋体" w:cs="宋体"/>
                      <w:color w:val="000000"/>
                      <w:kern w:val="0"/>
                      <w:sz w:val="19"/>
                      <w:szCs w:val="19"/>
                    </w:rPr>
                  </w:pP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13820640544</w:t>
            </w:r>
          </w:p>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胡小宁</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17</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浙商银行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tbl>
            <w:tblPr>
              <w:tblStyle w:val="19"/>
              <w:tblW w:w="5000" w:type="pct"/>
              <w:tblInd w:w="0" w:type="dxa"/>
              <w:shd w:val="clear" w:color="auto" w:fill="FFFFFF"/>
              <w:tblLayout w:type="fixed"/>
              <w:tblCellMar>
                <w:top w:w="15" w:type="dxa"/>
                <w:left w:w="15" w:type="dxa"/>
                <w:bottom w:w="15" w:type="dxa"/>
                <w:right w:w="15" w:type="dxa"/>
              </w:tblCellMar>
            </w:tblPr>
            <w:tblGrid>
              <w:gridCol w:w="3168"/>
            </w:tblGrid>
            <w:tr>
              <w:tblPrEx>
                <w:shd w:val="clear" w:color="auto" w:fill="FFFFFF"/>
                <w:tblCellMar>
                  <w:top w:w="15" w:type="dxa"/>
                  <w:left w:w="15" w:type="dxa"/>
                  <w:bottom w:w="15" w:type="dxa"/>
                  <w:right w:w="15" w:type="dxa"/>
                </w:tblCellMar>
              </w:tblPrEx>
              <w:tc>
                <w:tcPr>
                  <w:tcW w:w="3007" w:type="dxa"/>
                  <w:shd w:val="clear" w:color="auto" w:fill="FFFFFF"/>
                  <w:tcMar>
                    <w:top w:w="150" w:type="dxa"/>
                    <w:left w:w="0" w:type="dxa"/>
                    <w:bottom w:w="150" w:type="dxa"/>
                    <w:right w:w="0" w:type="dxa"/>
                  </w:tcMa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1、符合我行小企业授信客户界定标准的小型、微型企业；</w:t>
                  </w:r>
                </w:p>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2、须连续经营2年及以上或实际控制人有3年及以上相关行业从业经验，经营状况良好，信用记录良好；3、与采购人无关联关系，行业相关证照齐全；</w:t>
                  </w:r>
                </w:p>
                <w:p>
                  <w:pPr>
                    <w:widowControl/>
                    <w:jc w:val="left"/>
                    <w:textAlignment w:val="top"/>
                    <w:rPr>
                      <w:rFonts w:ascii="����" w:hAnsi="����" w:eastAsia="����" w:cs="����"/>
                      <w:color w:val="333333"/>
                      <w:sz w:val="24"/>
                      <w:szCs w:val="24"/>
                    </w:rPr>
                  </w:pPr>
                  <w:r>
                    <w:rPr>
                      <w:rFonts w:hint="eastAsia" w:ascii="宋体" w:hAnsi="宋体" w:cs="宋体"/>
                      <w:color w:val="000000"/>
                      <w:kern w:val="0"/>
                      <w:sz w:val="19"/>
                      <w:szCs w:val="19"/>
                    </w:rPr>
                    <w:t>4、借款人须在本行开立单位结算账户或保证金账户，并将该账户指定为采购活动项下应收账款的唯一回款账户。</w:t>
                  </w:r>
                </w:p>
              </w:tc>
            </w:tr>
          </w:tbl>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23271307</w:t>
            </w:r>
          </w:p>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刘粲</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18</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中信银行</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r>
              <w:rPr>
                <w:rFonts w:hint="eastAsia" w:ascii="宋体" w:hAnsi="宋体" w:cs="宋体"/>
                <w:color w:val="000000"/>
                <w:kern w:val="0"/>
                <w:sz w:val="19"/>
                <w:szCs w:val="19"/>
              </w:rPr>
              <w:t>参考利率：</w:t>
            </w:r>
          </w:p>
          <w:p>
            <w:pPr>
              <w:jc w:val="left"/>
              <w:rPr>
                <w:rFonts w:ascii="宋体" w:hAnsi="宋体" w:cs="宋体"/>
                <w:color w:val="000000"/>
                <w:kern w:val="0"/>
                <w:sz w:val="19"/>
                <w:szCs w:val="19"/>
              </w:rPr>
            </w:pPr>
            <w:r>
              <w:rPr>
                <w:rFonts w:hint="eastAsia" w:ascii="宋体" w:hAnsi="宋体" w:cs="宋体"/>
                <w:color w:val="000000"/>
                <w:kern w:val="0"/>
                <w:sz w:val="19"/>
                <w:szCs w:val="19"/>
              </w:rPr>
              <w:t>3.75%-3.95%</w:t>
            </w:r>
            <w:r>
              <w:rPr>
                <w:rFonts w:hint="eastAsia" w:ascii="宋体" w:hAnsi="宋体" w:cs="宋体"/>
                <w:color w:val="000000"/>
                <w:kern w:val="0"/>
                <w:sz w:val="19"/>
                <w:szCs w:val="19"/>
              </w:rPr>
              <w:br w:type="textWrapping"/>
            </w:r>
            <w:r>
              <w:rPr>
                <w:rFonts w:hint="eastAsia" w:ascii="宋体" w:hAnsi="宋体" w:cs="宋体"/>
                <w:color w:val="000000"/>
                <w:kern w:val="0"/>
                <w:sz w:val="19"/>
                <w:szCs w:val="19"/>
              </w:rPr>
              <w:t>融资额度：最高1000万元</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r>
              <w:rPr>
                <w:rFonts w:hint="eastAsia" w:ascii="宋体" w:hAnsi="宋体" w:cs="宋体"/>
                <w:color w:val="000000"/>
                <w:kern w:val="0"/>
                <w:sz w:val="19"/>
                <w:szCs w:val="19"/>
              </w:rPr>
              <w:t>小微企业</w:t>
            </w: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0"/>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借款企业持续经营1年（含）以上或在本行业持续经营2年（含）以上；</w:t>
            </w:r>
          </w:p>
          <w:p>
            <w:pPr>
              <w:widowControl/>
              <w:numPr>
                <w:ilvl w:val="0"/>
                <w:numId w:val="10"/>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借款企业实际控制人年龄在18周岁（含）至65周岁（含）之间；</w:t>
            </w:r>
          </w:p>
          <w:p>
            <w:pPr>
              <w:widowControl/>
              <w:numPr>
                <w:ilvl w:val="0"/>
                <w:numId w:val="10"/>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采购品类为货物类或服务类；</w:t>
            </w:r>
          </w:p>
          <w:p>
            <w:pPr>
              <w:widowControl/>
              <w:numPr>
                <w:ilvl w:val="0"/>
                <w:numId w:val="10"/>
              </w:numPr>
              <w:jc w:val="left"/>
              <w:textAlignment w:val="top"/>
              <w:rPr>
                <w:rFonts w:ascii="宋体" w:hAnsi="宋体" w:cs="宋体"/>
                <w:color w:val="000000"/>
                <w:kern w:val="0"/>
                <w:sz w:val="19"/>
                <w:szCs w:val="19"/>
              </w:rPr>
            </w:pPr>
            <w:r>
              <w:rPr>
                <w:rFonts w:hint="eastAsia" w:ascii="宋体" w:hAnsi="宋体" w:cs="宋体"/>
                <w:color w:val="000000"/>
                <w:kern w:val="0"/>
                <w:sz w:val="19"/>
                <w:szCs w:val="19"/>
              </w:rPr>
              <w:t>借款企业政采合作月数不少于6个月；</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13767182800</w:t>
            </w:r>
          </w:p>
          <w:p>
            <w:pPr>
              <w:widowControl/>
              <w:jc w:val="center"/>
              <w:textAlignment w:val="top"/>
              <w:rPr>
                <w:rFonts w:ascii="宋体" w:hAnsi="宋体" w:cs="宋体"/>
                <w:color w:val="000000"/>
                <w:kern w:val="0"/>
                <w:sz w:val="19"/>
                <w:szCs w:val="19"/>
              </w:rPr>
            </w:pPr>
            <w:r>
              <w:rPr>
                <w:rFonts w:hint="eastAsia" w:ascii="宋体" w:hAnsi="宋体" w:cs="宋体"/>
                <w:color w:val="000000"/>
                <w:kern w:val="0"/>
                <w:sz w:val="19"/>
                <w:szCs w:val="19"/>
              </w:rPr>
              <w:t>唐朝</w:t>
            </w:r>
          </w:p>
        </w:tc>
      </w:tr>
      <w:tr>
        <w:tblPrEx>
          <w:tblCellMar>
            <w:top w:w="0" w:type="dxa"/>
            <w:left w:w="108" w:type="dxa"/>
            <w:bottom w:w="0" w:type="dxa"/>
            <w:right w:w="108" w:type="dxa"/>
          </w:tblCellMar>
        </w:tblPrEx>
        <w:trPr>
          <w:trHeight w:val="480" w:hRule="atLeast"/>
        </w:trPr>
        <w:tc>
          <w:tcPr>
            <w:tcW w:w="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19</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9"/>
                <w:szCs w:val="19"/>
              </w:rPr>
            </w:pPr>
            <w:r>
              <w:rPr>
                <w:rFonts w:hint="eastAsia" w:ascii="宋体" w:hAnsi="宋体" w:cs="宋体"/>
                <w:color w:val="000000"/>
                <w:kern w:val="0"/>
                <w:sz w:val="19"/>
                <w:szCs w:val="19"/>
              </w:rPr>
              <w:t>后续持续更新</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9"/>
                <w:szCs w:val="19"/>
              </w:rPr>
            </w:pP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p>
        </w:tc>
        <w:tc>
          <w:tcPr>
            <w:tcW w:w="33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cs="宋体"/>
                <w:color w:val="000000"/>
                <w:kern w:val="0"/>
                <w:sz w:val="19"/>
                <w:szCs w:val="19"/>
              </w:rPr>
            </w:pP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宋体" w:hAnsi="宋体" w:cs="宋体"/>
                <w:color w:val="000000"/>
                <w:kern w:val="0"/>
                <w:sz w:val="19"/>
                <w:szCs w:val="19"/>
              </w:rPr>
            </w:pPr>
          </w:p>
        </w:tc>
      </w:tr>
    </w:tbl>
    <w:p>
      <w:pPr>
        <w:autoSpaceDE w:val="0"/>
        <w:autoSpaceDN w:val="0"/>
        <w:adjustRightInd w:val="0"/>
        <w:spacing w:line="360" w:lineRule="auto"/>
        <w:ind w:firstLine="480" w:firstLineChars="200"/>
        <w:rPr>
          <w:rFonts w:hAnsiTheme="minorEastAsia"/>
          <w:kern w:val="0"/>
          <w:sz w:val="24"/>
          <w:szCs w:val="24"/>
        </w:rPr>
      </w:pPr>
    </w:p>
    <w:p>
      <w:pPr>
        <w:pStyle w:val="31"/>
        <w:snapToGrid w:val="0"/>
        <w:spacing w:line="360" w:lineRule="auto"/>
        <w:ind w:firstLine="420" w:firstLineChars="200"/>
        <w:jc w:val="both"/>
        <w:rPr>
          <w:rFonts w:ascii="Times New Roman" w:hAnsi="Times New Roman" w:eastAsia="宋体" w:cs="Times New Roman"/>
          <w:color w:val="auto"/>
        </w:rPr>
      </w:pPr>
      <w:r>
        <w:rPr>
          <w:rFonts w:hint="eastAsia" w:ascii="Times New Roman" w:eastAsia="宋体" w:cs="Times New Roman" w:hAnsiTheme="minorEastAsia"/>
          <w:color w:val="auto"/>
          <w:kern w:val="2"/>
          <w:sz w:val="21"/>
          <w:szCs w:val="20"/>
        </w:rPr>
        <w:t>以上内容均为当前政策内容，未来不排除各大金融机构针对政采贷业务的相关政策会有修改和变动，本“政采贷”明白纸仅供参考，详情请自行致电咨询。</w:t>
      </w:r>
    </w:p>
    <w:p>
      <w:pPr>
        <w:pStyle w:val="31"/>
        <w:snapToGrid w:val="0"/>
        <w:spacing w:line="360" w:lineRule="auto"/>
        <w:ind w:firstLine="480" w:firstLineChars="200"/>
        <w:jc w:val="both"/>
        <w:rPr>
          <w:rFonts w:ascii="Times New Roman" w:hAnsi="Times New Roman" w:eastAsia="宋体" w:cs="Times New Roman"/>
          <w:color w:val="auto"/>
        </w:rPr>
        <w:sectPr>
          <w:headerReference r:id="rId6" w:type="default"/>
          <w:footerReference r:id="rId7" w:type="default"/>
          <w:pgSz w:w="11906" w:h="16838"/>
          <w:pgMar w:top="1440" w:right="1800" w:bottom="1440" w:left="1800" w:header="851" w:footer="992" w:gutter="0"/>
          <w:cols w:space="720" w:num="1"/>
          <w:docGrid w:type="lines" w:linePitch="312" w:charSpace="0"/>
        </w:sectPr>
      </w:pPr>
    </w:p>
    <w:p>
      <w:pPr>
        <w:pStyle w:val="14"/>
        <w:rPr>
          <w:rFonts w:ascii="Times New Roman" w:hAnsi="Times New Roman"/>
        </w:rPr>
      </w:pPr>
      <w:r>
        <w:rPr>
          <w:rFonts w:ascii="Times New Roman" w:hAnsi="Times New Roman"/>
        </w:rPr>
        <w:t>第四部分合同草案</w:t>
      </w:r>
      <w:bookmarkEnd w:id="4"/>
    </w:p>
    <w:p>
      <w:pPr>
        <w:tabs>
          <w:tab w:val="left" w:pos="412"/>
          <w:tab w:val="left" w:pos="618"/>
        </w:tabs>
        <w:spacing w:line="520" w:lineRule="exact"/>
        <w:jc w:val="center"/>
        <w:rPr>
          <w:b/>
          <w:sz w:val="30"/>
          <w:szCs w:val="30"/>
        </w:rPr>
      </w:pPr>
      <w:r>
        <w:rPr>
          <w:b/>
          <w:sz w:val="30"/>
          <w:szCs w:val="30"/>
        </w:rPr>
        <w:t>合同一般条款</w:t>
      </w:r>
    </w:p>
    <w:p>
      <w:pPr>
        <w:tabs>
          <w:tab w:val="left" w:pos="0"/>
          <w:tab w:val="left" w:pos="315"/>
        </w:tabs>
        <w:spacing w:line="520" w:lineRule="exact"/>
        <w:ind w:firstLine="480"/>
        <w:rPr>
          <w:sz w:val="24"/>
          <w:szCs w:val="24"/>
        </w:rPr>
      </w:pPr>
      <w:r>
        <w:rPr>
          <w:sz w:val="24"/>
          <w:szCs w:val="24"/>
        </w:rPr>
        <w:t>需方：</w:t>
      </w:r>
    </w:p>
    <w:p>
      <w:pPr>
        <w:tabs>
          <w:tab w:val="left" w:pos="0"/>
          <w:tab w:val="left" w:pos="315"/>
        </w:tabs>
        <w:spacing w:line="520" w:lineRule="exact"/>
        <w:ind w:firstLine="480"/>
        <w:rPr>
          <w:sz w:val="24"/>
          <w:szCs w:val="24"/>
        </w:rPr>
      </w:pPr>
      <w:r>
        <w:rPr>
          <w:sz w:val="24"/>
          <w:szCs w:val="24"/>
        </w:rPr>
        <w:t>供方：</w:t>
      </w:r>
    </w:p>
    <w:p>
      <w:pPr>
        <w:tabs>
          <w:tab w:val="left" w:pos="0"/>
          <w:tab w:val="left" w:pos="315"/>
        </w:tabs>
        <w:spacing w:line="520" w:lineRule="exact"/>
        <w:ind w:firstLine="480"/>
        <w:rPr>
          <w:sz w:val="24"/>
          <w:szCs w:val="24"/>
        </w:rPr>
      </w:pPr>
      <w:r>
        <w:rPr>
          <w:sz w:val="24"/>
          <w:szCs w:val="24"/>
        </w:rPr>
        <w:t>供、需双方根据</w:t>
      </w:r>
      <w:r>
        <w:rPr>
          <w:rFonts w:hint="eastAsia"/>
          <w:sz w:val="24"/>
          <w:szCs w:val="24"/>
        </w:rPr>
        <w:t xml:space="preserve">        </w:t>
      </w:r>
      <w:r>
        <w:rPr>
          <w:sz w:val="24"/>
          <w:szCs w:val="24"/>
        </w:rPr>
        <w:t>项目（项目编号：</w:t>
      </w:r>
      <w:r>
        <w:rPr>
          <w:rFonts w:hint="eastAsia"/>
          <w:sz w:val="24"/>
          <w:szCs w:val="24"/>
        </w:rPr>
        <w:t xml:space="preserve">        </w:t>
      </w:r>
      <w:r>
        <w:rPr>
          <w:sz w:val="24"/>
          <w:szCs w:val="24"/>
        </w:rPr>
        <w:t>）的政府采购结果和竞争性磋商文件的要求，并经双方协商一致，达成合同：</w:t>
      </w:r>
    </w:p>
    <w:p>
      <w:pPr>
        <w:numPr>
          <w:ilvl w:val="0"/>
          <w:numId w:val="11"/>
        </w:numPr>
        <w:tabs>
          <w:tab w:val="left" w:pos="0"/>
          <w:tab w:val="left" w:pos="315"/>
        </w:tabs>
        <w:spacing w:line="520" w:lineRule="exact"/>
        <w:rPr>
          <w:sz w:val="24"/>
          <w:szCs w:val="24"/>
        </w:rPr>
      </w:pPr>
      <w:r>
        <w:rPr>
          <w:rFonts w:hint="eastAsia"/>
          <w:sz w:val="24"/>
          <w:szCs w:val="24"/>
        </w:rPr>
        <w:t>本合同为中小企业预留合同</w:t>
      </w:r>
    </w:p>
    <w:p>
      <w:pPr>
        <w:numPr>
          <w:ilvl w:val="0"/>
          <w:numId w:val="11"/>
        </w:numPr>
        <w:tabs>
          <w:tab w:val="left" w:pos="0"/>
          <w:tab w:val="left" w:pos="315"/>
        </w:tabs>
        <w:spacing w:line="520" w:lineRule="exact"/>
        <w:rPr>
          <w:sz w:val="24"/>
          <w:szCs w:val="24"/>
        </w:rPr>
      </w:pPr>
      <w:r>
        <w:rPr>
          <w:rFonts w:hint="eastAsia"/>
          <w:sz w:val="24"/>
          <w:szCs w:val="24"/>
        </w:rPr>
        <w:t>本合同非中小企业预留合同</w:t>
      </w:r>
    </w:p>
    <w:p>
      <w:pPr>
        <w:tabs>
          <w:tab w:val="left" w:pos="0"/>
          <w:tab w:val="left" w:pos="315"/>
        </w:tabs>
        <w:spacing w:line="520" w:lineRule="exact"/>
        <w:ind w:firstLine="480"/>
        <w:rPr>
          <w:sz w:val="24"/>
          <w:szCs w:val="24"/>
        </w:rPr>
      </w:pPr>
      <w:r>
        <w:rPr>
          <w:sz w:val="24"/>
          <w:szCs w:val="24"/>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pPr>
        <w:tabs>
          <w:tab w:val="left" w:pos="1133"/>
        </w:tabs>
        <w:spacing w:line="520" w:lineRule="exact"/>
        <w:ind w:firstLine="480" w:firstLineChars="200"/>
        <w:rPr>
          <w:sz w:val="24"/>
          <w:szCs w:val="24"/>
        </w:rPr>
      </w:pPr>
      <w:r>
        <w:rPr>
          <w:sz w:val="24"/>
          <w:szCs w:val="24"/>
        </w:rPr>
        <w:t>一、采购内容：（详见附件）</w:t>
      </w:r>
    </w:p>
    <w:p>
      <w:pPr>
        <w:tabs>
          <w:tab w:val="left" w:pos="1133"/>
        </w:tabs>
        <w:spacing w:line="520" w:lineRule="exact"/>
        <w:ind w:firstLine="480" w:firstLineChars="200"/>
        <w:rPr>
          <w:sz w:val="24"/>
          <w:szCs w:val="24"/>
        </w:rPr>
      </w:pPr>
      <w:r>
        <w:rPr>
          <w:sz w:val="24"/>
          <w:szCs w:val="24"/>
        </w:rPr>
        <w:t>合同总价款：人民币元</w:t>
      </w:r>
    </w:p>
    <w:p>
      <w:pPr>
        <w:tabs>
          <w:tab w:val="left" w:pos="1133"/>
        </w:tabs>
        <w:spacing w:line="520" w:lineRule="exact"/>
        <w:ind w:firstLine="480" w:firstLineChars="200"/>
        <w:rPr>
          <w:sz w:val="24"/>
          <w:szCs w:val="24"/>
        </w:rPr>
      </w:pPr>
      <w:r>
        <w:rPr>
          <w:sz w:val="24"/>
          <w:szCs w:val="24"/>
        </w:rPr>
        <w:t>大写：人民币元整</w:t>
      </w:r>
    </w:p>
    <w:p>
      <w:pPr>
        <w:tabs>
          <w:tab w:val="left" w:pos="360"/>
        </w:tabs>
        <w:spacing w:line="520" w:lineRule="exact"/>
        <w:ind w:firstLine="480" w:firstLineChars="200"/>
        <w:rPr>
          <w:sz w:val="24"/>
          <w:szCs w:val="24"/>
        </w:rPr>
      </w:pPr>
      <w:r>
        <w:rPr>
          <w:sz w:val="24"/>
          <w:szCs w:val="24"/>
        </w:rPr>
        <w:t>二、质量要求及对质量负责条件和期限：见附件。</w:t>
      </w:r>
    </w:p>
    <w:p>
      <w:pPr>
        <w:tabs>
          <w:tab w:val="left" w:pos="360"/>
        </w:tabs>
        <w:spacing w:line="520" w:lineRule="exact"/>
        <w:ind w:firstLine="480" w:firstLineChars="200"/>
        <w:rPr>
          <w:sz w:val="24"/>
          <w:szCs w:val="24"/>
        </w:rPr>
      </w:pPr>
      <w:r>
        <w:rPr>
          <w:sz w:val="24"/>
          <w:szCs w:val="24"/>
        </w:rPr>
        <w:t>三、供方所提供的服务必须具有合法手续及相关文件。如涉及知识产权则必须是自己拥有或合法使用的。</w:t>
      </w:r>
    </w:p>
    <w:p>
      <w:pPr>
        <w:tabs>
          <w:tab w:val="left" w:pos="360"/>
        </w:tabs>
        <w:spacing w:line="520" w:lineRule="exact"/>
        <w:ind w:firstLine="480" w:firstLineChars="200"/>
        <w:rPr>
          <w:sz w:val="24"/>
          <w:szCs w:val="24"/>
        </w:rPr>
      </w:pPr>
      <w:r>
        <w:rPr>
          <w:sz w:val="24"/>
          <w:szCs w:val="24"/>
        </w:rPr>
        <w:t>四、交货时间、地点、方式：见附件。</w:t>
      </w:r>
    </w:p>
    <w:p>
      <w:pPr>
        <w:tabs>
          <w:tab w:val="left" w:pos="360"/>
        </w:tabs>
        <w:spacing w:line="520" w:lineRule="exact"/>
        <w:ind w:firstLine="480" w:firstLineChars="200"/>
        <w:rPr>
          <w:sz w:val="24"/>
          <w:szCs w:val="24"/>
        </w:rPr>
      </w:pPr>
      <w:r>
        <w:rPr>
          <w:sz w:val="24"/>
          <w:szCs w:val="24"/>
        </w:rPr>
        <w:t>五、供方应随货物向需方交付服务的相关的资料。如果所提交文件是外文的，供方有义务为需方提供中文或译成中文文件。</w:t>
      </w:r>
    </w:p>
    <w:p>
      <w:pPr>
        <w:tabs>
          <w:tab w:val="left" w:pos="360"/>
          <w:tab w:val="left" w:pos="721"/>
        </w:tabs>
        <w:spacing w:line="520" w:lineRule="exact"/>
        <w:rPr>
          <w:sz w:val="24"/>
          <w:szCs w:val="24"/>
        </w:rPr>
      </w:pPr>
      <w:r>
        <w:rPr>
          <w:sz w:val="24"/>
          <w:szCs w:val="24"/>
        </w:rPr>
        <w:t>六、验收工作由需方负责对合同进行验收。</w:t>
      </w:r>
    </w:p>
    <w:p>
      <w:pPr>
        <w:tabs>
          <w:tab w:val="left" w:pos="360"/>
        </w:tabs>
        <w:spacing w:line="520" w:lineRule="exact"/>
        <w:rPr>
          <w:sz w:val="24"/>
          <w:szCs w:val="24"/>
        </w:rPr>
      </w:pPr>
      <w:r>
        <w:rPr>
          <w:sz w:val="24"/>
          <w:szCs w:val="24"/>
        </w:rPr>
        <w:t>七、货款支付方式：见附件。</w:t>
      </w:r>
    </w:p>
    <w:p>
      <w:pPr>
        <w:tabs>
          <w:tab w:val="left" w:pos="0"/>
          <w:tab w:val="left" w:pos="721"/>
        </w:tabs>
        <w:spacing w:line="520" w:lineRule="exact"/>
        <w:ind w:firstLine="480" w:firstLineChars="200"/>
        <w:rPr>
          <w:sz w:val="24"/>
          <w:szCs w:val="24"/>
        </w:rPr>
      </w:pPr>
      <w:r>
        <w:rPr>
          <w:sz w:val="24"/>
          <w:szCs w:val="24"/>
        </w:rPr>
        <w:t>供方开户银行（汉字全称）：，</w:t>
      </w:r>
    </w:p>
    <w:p>
      <w:pPr>
        <w:tabs>
          <w:tab w:val="left" w:pos="0"/>
          <w:tab w:val="left" w:pos="721"/>
        </w:tabs>
        <w:spacing w:line="520" w:lineRule="exact"/>
        <w:ind w:firstLine="513" w:firstLineChars="214"/>
        <w:rPr>
          <w:sz w:val="24"/>
          <w:szCs w:val="24"/>
        </w:rPr>
      </w:pPr>
      <w:r>
        <w:rPr>
          <w:sz w:val="24"/>
          <w:szCs w:val="24"/>
        </w:rPr>
        <w:t>行号（数字代码）：，</w:t>
      </w:r>
    </w:p>
    <w:p>
      <w:pPr>
        <w:tabs>
          <w:tab w:val="left" w:pos="0"/>
          <w:tab w:val="left" w:pos="721"/>
        </w:tabs>
        <w:spacing w:line="520" w:lineRule="exact"/>
        <w:ind w:firstLine="513" w:firstLineChars="214"/>
        <w:rPr>
          <w:sz w:val="24"/>
          <w:szCs w:val="24"/>
        </w:rPr>
      </w:pPr>
      <w:r>
        <w:rPr>
          <w:sz w:val="24"/>
          <w:szCs w:val="24"/>
        </w:rPr>
        <w:t>帐号：</w:t>
      </w:r>
      <w:r>
        <w:rPr>
          <w:szCs w:val="24"/>
        </w:rPr>
        <w:t>。</w:t>
      </w:r>
    </w:p>
    <w:p>
      <w:pPr>
        <w:pStyle w:val="10"/>
        <w:tabs>
          <w:tab w:val="left" w:pos="360"/>
        </w:tabs>
        <w:spacing w:line="520" w:lineRule="exact"/>
        <w:ind w:leftChars="-50" w:firstLine="480" w:firstLineChars="200"/>
        <w:rPr>
          <w:sz w:val="24"/>
          <w:szCs w:val="24"/>
        </w:rPr>
      </w:pPr>
      <w:r>
        <w:rPr>
          <w:rFonts w:hint="eastAsia"/>
          <w:sz w:val="24"/>
          <w:szCs w:val="24"/>
        </w:rPr>
        <w:t>八</w:t>
      </w:r>
      <w:r>
        <w:rPr>
          <w:sz w:val="24"/>
          <w:szCs w:val="24"/>
        </w:rPr>
        <w:t>、有关涉及本合同供方向天津市政府采购中心所提交的</w:t>
      </w:r>
      <w:r>
        <w:rPr>
          <w:rFonts w:hint="eastAsia"/>
          <w:sz w:val="24"/>
          <w:szCs w:val="24"/>
        </w:rPr>
        <w:t>响应</w:t>
      </w:r>
      <w:r>
        <w:rPr>
          <w:sz w:val="24"/>
          <w:szCs w:val="24"/>
        </w:rPr>
        <w:t>文件及有关澄清资料和服务承诺均视为本合同不可分割的部分，对供方具有约束力。</w:t>
      </w:r>
    </w:p>
    <w:p>
      <w:pPr>
        <w:tabs>
          <w:tab w:val="left" w:pos="0"/>
          <w:tab w:val="left" w:pos="315"/>
        </w:tabs>
        <w:spacing w:line="520" w:lineRule="exact"/>
        <w:ind w:firstLine="480" w:firstLineChars="200"/>
        <w:rPr>
          <w:sz w:val="24"/>
          <w:szCs w:val="24"/>
        </w:rPr>
      </w:pPr>
      <w:r>
        <w:rPr>
          <w:rFonts w:hint="eastAsia"/>
          <w:sz w:val="24"/>
          <w:szCs w:val="24"/>
        </w:rPr>
        <w:t>九</w:t>
      </w:r>
      <w:r>
        <w:rPr>
          <w:sz w:val="24"/>
          <w:szCs w:val="24"/>
        </w:rPr>
        <w:t>、本合同一式份，需方留存份，供方留存份，均具同等效力，签字盖章后生效。</w:t>
      </w:r>
    </w:p>
    <w:tbl>
      <w:tblPr>
        <w:tblStyle w:val="19"/>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tabs>
                <w:tab w:val="left" w:pos="0"/>
                <w:tab w:val="left" w:pos="315"/>
              </w:tabs>
              <w:spacing w:line="520" w:lineRule="exact"/>
              <w:rPr>
                <w:sz w:val="24"/>
                <w:szCs w:val="24"/>
              </w:rPr>
            </w:pPr>
            <w:r>
              <w:rPr>
                <w:sz w:val="24"/>
                <w:szCs w:val="24"/>
              </w:rPr>
              <w:t>供方（公章）：</w:t>
            </w:r>
          </w:p>
        </w:tc>
        <w:tc>
          <w:tcPr>
            <w:tcW w:w="4261" w:type="dxa"/>
          </w:tcPr>
          <w:p>
            <w:pPr>
              <w:tabs>
                <w:tab w:val="left" w:pos="0"/>
                <w:tab w:val="left" w:pos="315"/>
              </w:tabs>
              <w:spacing w:line="520" w:lineRule="exact"/>
              <w:rPr>
                <w:sz w:val="24"/>
                <w:szCs w:val="24"/>
              </w:rPr>
            </w:pPr>
            <w:r>
              <w:rPr>
                <w:sz w:val="24"/>
                <w:szCs w:val="24"/>
              </w:rPr>
              <w:t>需方（公章）：</w:t>
            </w:r>
          </w:p>
        </w:tc>
      </w:tr>
      <w:tr>
        <w:tblPrEx>
          <w:tblCellMar>
            <w:top w:w="0" w:type="dxa"/>
            <w:left w:w="108" w:type="dxa"/>
            <w:bottom w:w="0" w:type="dxa"/>
            <w:right w:w="108" w:type="dxa"/>
          </w:tblCellMar>
        </w:tblPrEx>
        <w:tc>
          <w:tcPr>
            <w:tcW w:w="4261" w:type="dxa"/>
          </w:tcPr>
          <w:p>
            <w:pPr>
              <w:tabs>
                <w:tab w:val="left" w:pos="0"/>
                <w:tab w:val="left" w:pos="315"/>
              </w:tabs>
              <w:spacing w:line="520" w:lineRule="exact"/>
              <w:rPr>
                <w:sz w:val="24"/>
                <w:szCs w:val="24"/>
              </w:rPr>
            </w:pPr>
            <w:r>
              <w:rPr>
                <w:sz w:val="24"/>
                <w:szCs w:val="24"/>
              </w:rPr>
              <w:t>地址：</w:t>
            </w:r>
          </w:p>
        </w:tc>
        <w:tc>
          <w:tcPr>
            <w:tcW w:w="4261" w:type="dxa"/>
          </w:tcPr>
          <w:p>
            <w:pPr>
              <w:tabs>
                <w:tab w:val="left" w:pos="0"/>
                <w:tab w:val="left" w:pos="315"/>
              </w:tabs>
              <w:spacing w:line="520" w:lineRule="exact"/>
              <w:rPr>
                <w:sz w:val="24"/>
                <w:szCs w:val="24"/>
              </w:rPr>
            </w:pPr>
            <w:r>
              <w:rPr>
                <w:sz w:val="24"/>
                <w:szCs w:val="24"/>
              </w:rPr>
              <w:t>地址：</w:t>
            </w:r>
          </w:p>
        </w:tc>
      </w:tr>
      <w:tr>
        <w:tblPrEx>
          <w:tblCellMar>
            <w:top w:w="0" w:type="dxa"/>
            <w:left w:w="108" w:type="dxa"/>
            <w:bottom w:w="0" w:type="dxa"/>
            <w:right w:w="108" w:type="dxa"/>
          </w:tblCellMar>
        </w:tblPrEx>
        <w:tc>
          <w:tcPr>
            <w:tcW w:w="4261" w:type="dxa"/>
          </w:tcPr>
          <w:p>
            <w:pPr>
              <w:tabs>
                <w:tab w:val="left" w:pos="360"/>
              </w:tabs>
              <w:spacing w:line="520" w:lineRule="exact"/>
              <w:rPr>
                <w:sz w:val="24"/>
                <w:szCs w:val="24"/>
              </w:rPr>
            </w:pPr>
            <w:r>
              <w:rPr>
                <w:sz w:val="24"/>
                <w:szCs w:val="24"/>
              </w:rPr>
              <w:t>法定代表人：</w:t>
            </w:r>
          </w:p>
        </w:tc>
        <w:tc>
          <w:tcPr>
            <w:tcW w:w="4261" w:type="dxa"/>
          </w:tcPr>
          <w:p>
            <w:pPr>
              <w:tabs>
                <w:tab w:val="left" w:pos="360"/>
              </w:tabs>
              <w:spacing w:line="520" w:lineRule="exact"/>
              <w:rPr>
                <w:sz w:val="24"/>
                <w:szCs w:val="24"/>
              </w:rPr>
            </w:pPr>
            <w:r>
              <w:rPr>
                <w:sz w:val="24"/>
                <w:szCs w:val="24"/>
              </w:rPr>
              <w:t>法定代表人：</w:t>
            </w:r>
          </w:p>
        </w:tc>
      </w:tr>
      <w:tr>
        <w:tblPrEx>
          <w:tblCellMar>
            <w:top w:w="0" w:type="dxa"/>
            <w:left w:w="108" w:type="dxa"/>
            <w:bottom w:w="0" w:type="dxa"/>
            <w:right w:w="108" w:type="dxa"/>
          </w:tblCellMar>
        </w:tblPrEx>
        <w:tc>
          <w:tcPr>
            <w:tcW w:w="4261" w:type="dxa"/>
          </w:tcPr>
          <w:p>
            <w:pPr>
              <w:tabs>
                <w:tab w:val="left" w:pos="360"/>
              </w:tabs>
              <w:spacing w:line="520" w:lineRule="exact"/>
              <w:rPr>
                <w:sz w:val="24"/>
                <w:szCs w:val="24"/>
              </w:rPr>
            </w:pPr>
            <w:r>
              <w:rPr>
                <w:sz w:val="24"/>
                <w:szCs w:val="24"/>
              </w:rPr>
              <w:t>委托代理人：</w:t>
            </w:r>
          </w:p>
        </w:tc>
        <w:tc>
          <w:tcPr>
            <w:tcW w:w="4261" w:type="dxa"/>
          </w:tcPr>
          <w:p>
            <w:pPr>
              <w:tabs>
                <w:tab w:val="left" w:pos="360"/>
              </w:tabs>
              <w:spacing w:line="520" w:lineRule="exact"/>
              <w:rPr>
                <w:sz w:val="24"/>
                <w:szCs w:val="24"/>
              </w:rPr>
            </w:pPr>
            <w:r>
              <w:rPr>
                <w:sz w:val="24"/>
                <w:szCs w:val="24"/>
              </w:rPr>
              <w:t>委托代理人：</w:t>
            </w:r>
          </w:p>
        </w:tc>
      </w:tr>
      <w:tr>
        <w:tblPrEx>
          <w:tblCellMar>
            <w:top w:w="0" w:type="dxa"/>
            <w:left w:w="108" w:type="dxa"/>
            <w:bottom w:w="0" w:type="dxa"/>
            <w:right w:w="108" w:type="dxa"/>
          </w:tblCellMar>
        </w:tblPrEx>
        <w:tc>
          <w:tcPr>
            <w:tcW w:w="4261" w:type="dxa"/>
          </w:tcPr>
          <w:p>
            <w:pPr>
              <w:tabs>
                <w:tab w:val="left" w:pos="360"/>
              </w:tabs>
              <w:spacing w:line="520" w:lineRule="exact"/>
              <w:rPr>
                <w:sz w:val="24"/>
                <w:szCs w:val="24"/>
              </w:rPr>
            </w:pPr>
            <w:r>
              <w:rPr>
                <w:sz w:val="24"/>
                <w:szCs w:val="24"/>
              </w:rPr>
              <w:t>电话：</w:t>
            </w:r>
          </w:p>
        </w:tc>
        <w:tc>
          <w:tcPr>
            <w:tcW w:w="4261" w:type="dxa"/>
          </w:tcPr>
          <w:p>
            <w:pPr>
              <w:tabs>
                <w:tab w:val="left" w:pos="360"/>
              </w:tabs>
              <w:spacing w:line="520" w:lineRule="exact"/>
              <w:rPr>
                <w:sz w:val="24"/>
                <w:szCs w:val="24"/>
              </w:rPr>
            </w:pPr>
            <w:r>
              <w:rPr>
                <w:sz w:val="24"/>
                <w:szCs w:val="24"/>
              </w:rPr>
              <w:t>电话：</w:t>
            </w:r>
          </w:p>
        </w:tc>
      </w:tr>
    </w:tbl>
    <w:p>
      <w:pPr>
        <w:rPr>
          <w:sz w:val="24"/>
          <w:szCs w:val="24"/>
        </w:rPr>
      </w:pPr>
    </w:p>
    <w:p>
      <w:pPr>
        <w:rPr>
          <w:szCs w:val="24"/>
        </w:rPr>
      </w:pPr>
      <w:r>
        <w:rPr>
          <w:sz w:val="24"/>
          <w:szCs w:val="24"/>
        </w:rPr>
        <w:t>时间：20年月日</w:t>
      </w:r>
    </w:p>
    <w:p>
      <w:pPr>
        <w:jc w:val="center"/>
        <w:rPr>
          <w:b/>
          <w:sz w:val="30"/>
          <w:szCs w:val="30"/>
        </w:rPr>
      </w:pPr>
      <w:r>
        <w:rPr>
          <w:b/>
          <w:sz w:val="30"/>
          <w:szCs w:val="30"/>
        </w:rPr>
        <w:br w:type="page"/>
      </w:r>
      <w:r>
        <w:rPr>
          <w:b/>
          <w:sz w:val="30"/>
          <w:szCs w:val="30"/>
        </w:rPr>
        <w:t>合同特殊条款</w:t>
      </w:r>
    </w:p>
    <w:p>
      <w:pPr>
        <w:tabs>
          <w:tab w:val="left" w:pos="360"/>
        </w:tabs>
        <w:spacing w:line="520" w:lineRule="exact"/>
        <w:ind w:firstLine="410" w:firstLineChars="171"/>
        <w:rPr>
          <w:color w:val="000000"/>
          <w:sz w:val="24"/>
          <w:szCs w:val="24"/>
        </w:rPr>
      </w:pPr>
    </w:p>
    <w:p>
      <w:pPr>
        <w:tabs>
          <w:tab w:val="left" w:pos="360"/>
        </w:tabs>
        <w:spacing w:line="520" w:lineRule="exact"/>
        <w:ind w:firstLine="410" w:firstLineChars="171"/>
        <w:rPr>
          <w:color w:val="000000"/>
          <w:sz w:val="24"/>
          <w:szCs w:val="24"/>
        </w:rPr>
      </w:pPr>
      <w:r>
        <w:rPr>
          <w:color w:val="000000"/>
          <w:sz w:val="24"/>
          <w:szCs w:val="24"/>
        </w:rPr>
        <w:t>合同特殊条款是合同一般条款的补充和修改。如果两者之间有抵触，应以特殊条款为准。</w:t>
      </w:r>
    </w:p>
    <w:p>
      <w:pPr>
        <w:tabs>
          <w:tab w:val="left" w:pos="360"/>
        </w:tabs>
        <w:spacing w:line="520" w:lineRule="exact"/>
        <w:ind w:firstLine="410" w:firstLineChars="171"/>
        <w:rPr>
          <w:color w:val="000000"/>
          <w:sz w:val="24"/>
          <w:szCs w:val="24"/>
        </w:rPr>
      </w:pPr>
      <w:r>
        <w:rPr>
          <w:color w:val="000000"/>
          <w:sz w:val="24"/>
          <w:szCs w:val="24"/>
        </w:rPr>
        <w:t>合同特殊条款由</w:t>
      </w:r>
      <w:r>
        <w:rPr>
          <w:rFonts w:hint="eastAsia"/>
          <w:color w:val="000000"/>
          <w:sz w:val="24"/>
          <w:szCs w:val="24"/>
        </w:rPr>
        <w:t>供方</w:t>
      </w:r>
      <w:r>
        <w:rPr>
          <w:color w:val="000000"/>
          <w:sz w:val="24"/>
          <w:szCs w:val="24"/>
        </w:rPr>
        <w:t>和需方根据项目的具体情况协商拟订。</w:t>
      </w:r>
    </w:p>
    <w:p>
      <w:pPr>
        <w:tabs>
          <w:tab w:val="left" w:pos="360"/>
        </w:tabs>
        <w:spacing w:line="520" w:lineRule="exact"/>
        <w:ind w:firstLine="410" w:firstLineChars="171"/>
        <w:rPr>
          <w:sz w:val="24"/>
          <w:szCs w:val="24"/>
        </w:rPr>
      </w:pPr>
    </w:p>
    <w:p>
      <w:pPr>
        <w:tabs>
          <w:tab w:val="left" w:pos="360"/>
        </w:tabs>
        <w:spacing w:line="520" w:lineRule="exact"/>
        <w:ind w:firstLine="410" w:firstLineChars="171"/>
        <w:rPr>
          <w:sz w:val="24"/>
          <w:szCs w:val="24"/>
        </w:rPr>
        <w:sectPr>
          <w:headerReference r:id="rId8" w:type="default"/>
          <w:footerReference r:id="rId9" w:type="default"/>
          <w:pgSz w:w="11906" w:h="16838"/>
          <w:pgMar w:top="1440" w:right="1800" w:bottom="1440" w:left="1800" w:header="851" w:footer="992" w:gutter="0"/>
          <w:cols w:space="720" w:num="1"/>
          <w:docGrid w:type="lines" w:linePitch="312" w:charSpace="0"/>
        </w:sectPr>
      </w:pPr>
    </w:p>
    <w:p>
      <w:pPr>
        <w:pStyle w:val="2"/>
        <w:jc w:val="center"/>
      </w:pPr>
      <w:bookmarkStart w:id="5" w:name="_Toc411426753"/>
      <w:r>
        <w:t>第五部分响应文件格式</w:t>
      </w:r>
      <w:bookmarkEnd w:id="5"/>
    </w:p>
    <w:p>
      <w:pPr>
        <w:autoSpaceDE w:val="0"/>
        <w:autoSpaceDN w:val="0"/>
        <w:adjustRightInd w:val="0"/>
        <w:spacing w:line="520" w:lineRule="exact"/>
        <w:rPr>
          <w:b/>
          <w:kern w:val="0"/>
          <w:sz w:val="24"/>
        </w:rPr>
      </w:pPr>
    </w:p>
    <w:p>
      <w:pPr>
        <w:autoSpaceDE w:val="0"/>
        <w:autoSpaceDN w:val="0"/>
        <w:adjustRightInd w:val="0"/>
        <w:spacing w:line="520" w:lineRule="exact"/>
        <w:rPr>
          <w:b/>
          <w:kern w:val="0"/>
          <w:sz w:val="24"/>
        </w:rPr>
      </w:pPr>
    </w:p>
    <w:p>
      <w:pPr>
        <w:autoSpaceDE w:val="0"/>
        <w:autoSpaceDN w:val="0"/>
        <w:adjustRightInd w:val="0"/>
        <w:jc w:val="center"/>
        <w:rPr>
          <w:rFonts w:eastAsia="华文行楷"/>
          <w:kern w:val="0"/>
          <w:sz w:val="144"/>
          <w:szCs w:val="144"/>
        </w:rPr>
      </w:pPr>
      <w:r>
        <w:rPr>
          <w:rFonts w:eastAsia="方正行楷简体"/>
          <w:sz w:val="160"/>
          <w:szCs w:val="84"/>
        </w:rPr>
        <w:t>响应文件</w:t>
      </w:r>
    </w:p>
    <w:p>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w:t>
      </w:r>
      <w:r>
        <w:rPr>
          <w:rFonts w:hint="eastAsia" w:eastAsia="楷体_GB2312"/>
          <w:b/>
          <w:color w:val="FF0000"/>
          <w:kern w:val="0"/>
          <w:sz w:val="36"/>
          <w:szCs w:val="36"/>
        </w:rPr>
        <w:t>加盖电子签章</w:t>
      </w:r>
      <w:r>
        <w:rPr>
          <w:rFonts w:eastAsia="楷体_GB2312"/>
          <w:b/>
          <w:color w:val="FF0000"/>
          <w:kern w:val="0"/>
          <w:sz w:val="36"/>
          <w:szCs w:val="36"/>
        </w:rPr>
        <w:t>）</w:t>
      </w:r>
    </w:p>
    <w:p>
      <w:pPr>
        <w:autoSpaceDE w:val="0"/>
        <w:autoSpaceDN w:val="0"/>
        <w:adjustRightInd w:val="0"/>
        <w:spacing w:line="520" w:lineRule="exact"/>
        <w:rPr>
          <w:b/>
          <w:kern w:val="0"/>
          <w:sz w:val="24"/>
        </w:rPr>
      </w:pPr>
    </w:p>
    <w:p>
      <w:pPr>
        <w:autoSpaceDE w:val="0"/>
        <w:autoSpaceDN w:val="0"/>
        <w:adjustRightInd w:val="0"/>
        <w:spacing w:line="520" w:lineRule="exact"/>
        <w:jc w:val="center"/>
        <w:rPr>
          <w:b/>
          <w:kern w:val="0"/>
          <w:sz w:val="24"/>
        </w:rPr>
      </w:pPr>
      <w:r>
        <w:rPr>
          <w:b/>
          <w:kern w:val="0"/>
          <w:sz w:val="24"/>
        </w:rPr>
        <w:t>第一阶段</w:t>
      </w:r>
      <w:r>
        <w:rPr>
          <w:rFonts w:hint="eastAsia"/>
          <w:b/>
          <w:kern w:val="0"/>
          <w:sz w:val="24"/>
        </w:rPr>
        <w:t>响应</w:t>
      </w:r>
      <w:r>
        <w:rPr>
          <w:b/>
          <w:kern w:val="0"/>
          <w:sz w:val="24"/>
        </w:rPr>
        <w:t>文件</w:t>
      </w:r>
    </w:p>
    <w:p>
      <w:pPr>
        <w:autoSpaceDE w:val="0"/>
        <w:autoSpaceDN w:val="0"/>
        <w:adjustRightInd w:val="0"/>
        <w:spacing w:line="520" w:lineRule="exact"/>
        <w:rPr>
          <w:b/>
          <w:kern w:val="0"/>
          <w:sz w:val="24"/>
        </w:rPr>
      </w:pPr>
    </w:p>
    <w:p>
      <w:pPr>
        <w:spacing w:beforeLines="30" w:afterLines="70" w:line="540" w:lineRule="exact"/>
        <w:ind w:left="630" w:leftChars="300"/>
        <w:rPr>
          <w:rFonts w:eastAsia="方正楷体简体"/>
          <w:b/>
          <w:sz w:val="34"/>
          <w:szCs w:val="34"/>
        </w:rPr>
      </w:pPr>
      <w:r>
        <w:rPr>
          <w:rFonts w:eastAsia="方正楷体简体"/>
          <w:b/>
          <w:sz w:val="34"/>
          <w:szCs w:val="34"/>
        </w:rPr>
        <w:t>项目编号：</w:t>
      </w:r>
    </w:p>
    <w:p>
      <w:pPr>
        <w:spacing w:beforeLines="30" w:afterLines="70" w:line="540" w:lineRule="exact"/>
        <w:ind w:left="630" w:leftChars="300"/>
        <w:rPr>
          <w:rFonts w:eastAsia="方正楷体简体"/>
          <w:b/>
          <w:sz w:val="34"/>
          <w:szCs w:val="34"/>
        </w:rPr>
      </w:pPr>
      <w:r>
        <w:rPr>
          <w:rFonts w:eastAsia="方正楷体简体"/>
          <w:b/>
          <w:sz w:val="34"/>
          <w:szCs w:val="34"/>
        </w:rPr>
        <w:t>项目名称：</w:t>
      </w:r>
    </w:p>
    <w:p>
      <w:pPr>
        <w:spacing w:beforeLines="30" w:afterLines="70" w:line="540" w:lineRule="exact"/>
        <w:ind w:left="630" w:leftChars="300"/>
        <w:rPr>
          <w:rFonts w:eastAsia="方正楷体简体"/>
          <w:b/>
          <w:sz w:val="34"/>
          <w:szCs w:val="34"/>
        </w:rPr>
      </w:pPr>
      <w:r>
        <w:rPr>
          <w:rFonts w:hint="eastAsia" w:eastAsia="方正楷体简体"/>
          <w:b/>
          <w:sz w:val="34"/>
          <w:szCs w:val="34"/>
        </w:rPr>
        <w:t>所投包号：</w:t>
      </w:r>
    </w:p>
    <w:p>
      <w:pPr>
        <w:spacing w:beforeLines="30" w:afterLines="70" w:line="540" w:lineRule="exact"/>
        <w:ind w:left="630" w:leftChars="300"/>
        <w:rPr>
          <w:rFonts w:eastAsia="方正楷体简体"/>
          <w:b/>
          <w:sz w:val="34"/>
          <w:szCs w:val="34"/>
        </w:rPr>
      </w:pPr>
      <w:r>
        <w:rPr>
          <w:rFonts w:eastAsia="方正楷体简体"/>
          <w:b/>
          <w:sz w:val="34"/>
          <w:szCs w:val="34"/>
        </w:rPr>
        <w:t>供应商名称：</w:t>
      </w:r>
    </w:p>
    <w:p>
      <w:pPr>
        <w:spacing w:beforeLines="30" w:afterLines="70" w:line="540" w:lineRule="exact"/>
        <w:ind w:left="630" w:leftChars="300"/>
        <w:rPr>
          <w:rFonts w:eastAsia="方正楷体简体"/>
          <w:b/>
          <w:sz w:val="34"/>
          <w:szCs w:val="34"/>
        </w:rPr>
      </w:pPr>
      <w:r>
        <w:rPr>
          <w:rFonts w:hint="eastAsia" w:eastAsia="方正楷体简体"/>
          <w:b/>
          <w:sz w:val="34"/>
          <w:szCs w:val="34"/>
        </w:rPr>
        <w:t>法定代表人姓名：</w:t>
      </w:r>
    </w:p>
    <w:p>
      <w:pPr>
        <w:spacing w:beforeLines="30" w:afterLines="70" w:line="540" w:lineRule="exact"/>
        <w:ind w:left="630" w:leftChars="300"/>
        <w:rPr>
          <w:rFonts w:eastAsia="方正楷体简体"/>
          <w:b/>
          <w:sz w:val="34"/>
          <w:szCs w:val="34"/>
        </w:rPr>
      </w:pPr>
      <w:r>
        <w:rPr>
          <w:rFonts w:hint="eastAsia" w:eastAsia="方正楷体简体"/>
          <w:b/>
          <w:sz w:val="34"/>
          <w:szCs w:val="34"/>
        </w:rPr>
        <w:t>投标代表人姓名：</w:t>
      </w:r>
    </w:p>
    <w:p>
      <w:pPr>
        <w:spacing w:beforeLines="30" w:afterLines="70" w:line="540" w:lineRule="exact"/>
        <w:ind w:left="630" w:leftChars="300"/>
        <w:rPr>
          <w:rFonts w:eastAsia="方正楷体简体"/>
          <w:b/>
          <w:sz w:val="34"/>
          <w:szCs w:val="34"/>
        </w:rPr>
      </w:pPr>
    </w:p>
    <w:p>
      <w:pPr>
        <w:spacing w:beforeLines="30" w:afterLines="70" w:line="540" w:lineRule="exact"/>
        <w:ind w:left="630" w:leftChars="300"/>
        <w:rPr>
          <w:rFonts w:eastAsia="方正楷体简体"/>
          <w:b/>
          <w:sz w:val="34"/>
          <w:szCs w:val="34"/>
        </w:rPr>
      </w:pPr>
    </w:p>
    <w:p>
      <w:pPr>
        <w:spacing w:beforeLines="30" w:afterLines="70" w:line="540" w:lineRule="exact"/>
        <w:ind w:left="630" w:leftChars="300"/>
        <w:rPr>
          <w:rFonts w:eastAsia="方正楷体简体"/>
          <w:b/>
          <w:sz w:val="34"/>
          <w:szCs w:val="34"/>
        </w:rPr>
      </w:pPr>
      <w:r>
        <w:rPr>
          <w:rFonts w:eastAsia="方正楷体简体"/>
          <w:b/>
          <w:sz w:val="34"/>
          <w:szCs w:val="34"/>
        </w:rPr>
        <w:t>递交日期：</w:t>
      </w:r>
    </w:p>
    <w:p>
      <w:pPr>
        <w:autoSpaceDN w:val="0"/>
        <w:spacing w:line="360" w:lineRule="auto"/>
        <w:jc w:val="center"/>
        <w:rPr>
          <w:b/>
          <w:bCs/>
          <w:sz w:val="24"/>
        </w:rPr>
      </w:pPr>
      <w:r>
        <w:rPr>
          <w:b/>
          <w:sz w:val="24"/>
        </w:rPr>
        <w:br w:type="page"/>
      </w:r>
      <w:r>
        <w:rPr>
          <w:rFonts w:hint="eastAsia"/>
          <w:b/>
          <w:sz w:val="24"/>
        </w:rPr>
        <w:t>第一阶段</w:t>
      </w:r>
      <w:r>
        <w:rPr>
          <w:rFonts w:hint="eastAsia"/>
          <w:b/>
          <w:bCs/>
          <w:sz w:val="24"/>
        </w:rPr>
        <w:t>响应文件总目录</w:t>
      </w:r>
    </w:p>
    <w:p>
      <w:pPr>
        <w:autoSpaceDN w:val="0"/>
        <w:spacing w:line="360" w:lineRule="auto"/>
        <w:jc w:val="center"/>
        <w:rPr>
          <w:b/>
          <w:bCs/>
          <w:sz w:val="24"/>
        </w:rPr>
      </w:pPr>
    </w:p>
    <w:p>
      <w:pPr>
        <w:autoSpaceDN w:val="0"/>
        <w:spacing w:line="360" w:lineRule="auto"/>
        <w:jc w:val="center"/>
        <w:rPr>
          <w:b/>
          <w:bCs/>
          <w:sz w:val="24"/>
        </w:rPr>
      </w:pPr>
      <w:r>
        <w:rPr>
          <w:rFonts w:hint="eastAsia"/>
          <w:b/>
          <w:bCs/>
          <w:sz w:val="24"/>
        </w:rPr>
        <w:t>（投标人自行编制）</w:t>
      </w:r>
    </w:p>
    <w:p>
      <w:pPr>
        <w:widowControl/>
        <w:spacing w:line="360" w:lineRule="auto"/>
        <w:jc w:val="center"/>
        <w:rPr>
          <w:b/>
          <w:sz w:val="24"/>
        </w:rPr>
      </w:pPr>
      <w:r>
        <w:rPr>
          <w:b/>
          <w:sz w:val="24"/>
        </w:rPr>
        <w:br w:type="page"/>
      </w:r>
      <w:r>
        <w:rPr>
          <w:rFonts w:hint="eastAsia"/>
          <w:b/>
          <w:sz w:val="24"/>
        </w:rPr>
        <w:t>评分因素及评标标准页码检索</w:t>
      </w:r>
    </w:p>
    <w:p>
      <w:pPr>
        <w:widowControl/>
        <w:spacing w:line="360" w:lineRule="auto"/>
        <w:jc w:val="center"/>
        <w:rPr>
          <w:b/>
          <w:sz w:val="24"/>
        </w:rPr>
      </w:pPr>
    </w:p>
    <w:p>
      <w:pPr>
        <w:widowControl/>
        <w:spacing w:line="360" w:lineRule="auto"/>
        <w:jc w:val="center"/>
        <w:rPr>
          <w:b/>
          <w:bCs/>
          <w:sz w:val="24"/>
        </w:rPr>
      </w:pPr>
      <w:r>
        <w:rPr>
          <w:rFonts w:hint="eastAsia"/>
          <w:b/>
          <w:bCs/>
          <w:sz w:val="24"/>
        </w:rPr>
        <w:t>（投标人按磋商文件“评分因素及评标标准”中除涉及价格的评分项外的每个评分项逐项列明页码）</w:t>
      </w:r>
    </w:p>
    <w:p>
      <w:pPr>
        <w:spacing w:line="460" w:lineRule="exact"/>
        <w:rPr>
          <w:b/>
          <w:sz w:val="24"/>
        </w:rPr>
      </w:pPr>
      <w:r>
        <w:rPr>
          <w:b/>
          <w:sz w:val="24"/>
        </w:rPr>
        <w:br w:type="page"/>
      </w:r>
      <w:r>
        <w:rPr>
          <w:b/>
          <w:sz w:val="24"/>
        </w:rPr>
        <w:t>附件1</w:t>
      </w:r>
    </w:p>
    <w:p>
      <w:pPr>
        <w:tabs>
          <w:tab w:val="left" w:pos="360"/>
        </w:tabs>
        <w:spacing w:line="560" w:lineRule="exact"/>
        <w:jc w:val="center"/>
        <w:rPr>
          <w:b/>
          <w:sz w:val="24"/>
        </w:rPr>
      </w:pPr>
      <w:r>
        <w:rPr>
          <w:b/>
          <w:sz w:val="24"/>
        </w:rPr>
        <w:t>响应书</w:t>
      </w:r>
    </w:p>
    <w:p>
      <w:pPr>
        <w:autoSpaceDE w:val="0"/>
        <w:autoSpaceDN w:val="0"/>
        <w:adjustRightInd w:val="0"/>
        <w:spacing w:line="520" w:lineRule="exact"/>
        <w:jc w:val="left"/>
        <w:rPr>
          <w:kern w:val="0"/>
          <w:sz w:val="24"/>
        </w:rPr>
      </w:pPr>
      <w:r>
        <w:rPr>
          <w:kern w:val="0"/>
          <w:sz w:val="24"/>
        </w:rPr>
        <w:t>致：天津市滨海新区政府采购中心</w:t>
      </w:r>
    </w:p>
    <w:p>
      <w:pPr>
        <w:autoSpaceDE w:val="0"/>
        <w:autoSpaceDN w:val="0"/>
        <w:adjustRightInd w:val="0"/>
        <w:spacing w:line="360" w:lineRule="auto"/>
        <w:ind w:firstLine="480"/>
        <w:jc w:val="left"/>
        <w:rPr>
          <w:kern w:val="0"/>
          <w:sz w:val="24"/>
        </w:rPr>
      </w:pPr>
      <w:r>
        <w:rPr>
          <w:kern w:val="0"/>
          <w:sz w:val="24"/>
        </w:rPr>
        <w:t>根据贵方为</w:t>
      </w:r>
      <w:r>
        <w:rPr>
          <w:rFonts w:hint="eastAsia"/>
          <w:kern w:val="0"/>
          <w:sz w:val="24"/>
          <w:u w:val="single"/>
        </w:rPr>
        <w:t xml:space="preserve">   </w:t>
      </w:r>
      <w:r>
        <w:rPr>
          <w:kern w:val="0"/>
          <w:sz w:val="24"/>
          <w:u w:val="single"/>
        </w:rPr>
        <w:t xml:space="preserve">      </w:t>
      </w:r>
      <w:r>
        <w:rPr>
          <w:rFonts w:hint="eastAsia"/>
          <w:kern w:val="0"/>
          <w:sz w:val="24"/>
        </w:rPr>
        <w:t>项目</w:t>
      </w:r>
      <w:r>
        <w:rPr>
          <w:kern w:val="0"/>
          <w:sz w:val="24"/>
        </w:rPr>
        <w:t>的磋商邀请（项目编号：</w:t>
      </w:r>
      <w:r>
        <w:rPr>
          <w:rFonts w:hint="eastAsia"/>
          <w:kern w:val="0"/>
          <w:sz w:val="24"/>
          <w:u w:val="single"/>
        </w:rPr>
        <w:t xml:space="preserve">   </w:t>
      </w:r>
      <w:r>
        <w:rPr>
          <w:kern w:val="0"/>
          <w:sz w:val="24"/>
          <w:u w:val="single"/>
        </w:rPr>
        <w:t xml:space="preserve">      </w:t>
      </w:r>
      <w:r>
        <w:rPr>
          <w:kern w:val="0"/>
          <w:sz w:val="24"/>
        </w:rPr>
        <w:t>），签字代表（姓名职务）经正式授权并代表</w:t>
      </w:r>
      <w:r>
        <w:rPr>
          <w:rFonts w:hint="eastAsia"/>
          <w:kern w:val="0"/>
          <w:sz w:val="24"/>
        </w:rPr>
        <w:t>我公司</w:t>
      </w:r>
      <w:r>
        <w:rPr>
          <w:kern w:val="0"/>
          <w:sz w:val="24"/>
        </w:rPr>
        <w:t>（供应商名称、地址）</w:t>
      </w:r>
      <w:r>
        <w:rPr>
          <w:sz w:val="24"/>
        </w:rPr>
        <w:t>提交</w:t>
      </w:r>
      <w:r>
        <w:rPr>
          <w:rFonts w:hint="eastAsia"/>
          <w:sz w:val="24"/>
        </w:rPr>
        <w:t>网上应答及上传加盖电子签章的响应文件</w:t>
      </w:r>
      <w:r>
        <w:rPr>
          <w:sz w:val="24"/>
        </w:rPr>
        <w:t>。</w:t>
      </w:r>
    </w:p>
    <w:p>
      <w:pPr>
        <w:autoSpaceDE w:val="0"/>
        <w:autoSpaceDN w:val="0"/>
        <w:adjustRightInd w:val="0"/>
        <w:spacing w:line="360" w:lineRule="auto"/>
        <w:jc w:val="left"/>
        <w:rPr>
          <w:kern w:val="0"/>
          <w:sz w:val="24"/>
        </w:rPr>
      </w:pPr>
      <w:r>
        <w:rPr>
          <w:kern w:val="0"/>
          <w:sz w:val="24"/>
        </w:rPr>
        <w:t>据此函，签字代表宣布同意如下：</w:t>
      </w:r>
    </w:p>
    <w:p>
      <w:pPr>
        <w:numPr>
          <w:ilvl w:val="0"/>
          <w:numId w:val="12"/>
        </w:numPr>
        <w:spacing w:line="360" w:lineRule="auto"/>
        <w:ind w:left="0" w:firstLine="480" w:firstLineChars="200"/>
        <w:jc w:val="left"/>
        <w:rPr>
          <w:sz w:val="24"/>
        </w:rPr>
      </w:pPr>
      <w:r>
        <w:rPr>
          <w:sz w:val="24"/>
        </w:rPr>
        <w:t>我公司将按磋商文件的规定履行合同责任和义务。</w:t>
      </w:r>
    </w:p>
    <w:p>
      <w:pPr>
        <w:numPr>
          <w:ilvl w:val="0"/>
          <w:numId w:val="12"/>
        </w:numPr>
        <w:spacing w:line="360" w:lineRule="auto"/>
        <w:ind w:left="0" w:firstLine="480" w:firstLineChars="200"/>
        <w:jc w:val="left"/>
        <w:rPr>
          <w:sz w:val="24"/>
        </w:rPr>
      </w:pPr>
      <w:r>
        <w:rPr>
          <w:sz w:val="24"/>
        </w:rPr>
        <w:t>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pPr>
        <w:numPr>
          <w:ilvl w:val="0"/>
          <w:numId w:val="12"/>
        </w:numPr>
        <w:spacing w:line="360" w:lineRule="auto"/>
        <w:ind w:left="0" w:firstLine="480" w:firstLineChars="200"/>
        <w:jc w:val="left"/>
        <w:rPr>
          <w:sz w:val="24"/>
        </w:rPr>
      </w:pPr>
      <w:r>
        <w:rPr>
          <w:sz w:val="24"/>
        </w:rPr>
        <w:t>我公司的磋商有效期为开标之日起60天。</w:t>
      </w:r>
    </w:p>
    <w:p>
      <w:pPr>
        <w:numPr>
          <w:ilvl w:val="0"/>
          <w:numId w:val="12"/>
        </w:numPr>
        <w:spacing w:line="360" w:lineRule="auto"/>
        <w:ind w:left="0" w:firstLine="480" w:firstLineChars="200"/>
        <w:jc w:val="left"/>
        <w:rPr>
          <w:sz w:val="24"/>
        </w:rPr>
      </w:pPr>
      <w:r>
        <w:rPr>
          <w:sz w:val="24"/>
        </w:rPr>
        <w:t>我公司同意按照采购方要求提供的与投标有关的一切数据或资料，并声明响应文件及所提供的一切资料均真实有效。由于我公司提供资料不实而造成的责任和后果由我公司自行承担。</w:t>
      </w:r>
    </w:p>
    <w:p>
      <w:pPr>
        <w:numPr>
          <w:ilvl w:val="0"/>
          <w:numId w:val="12"/>
        </w:numPr>
        <w:spacing w:line="360" w:lineRule="auto"/>
        <w:ind w:left="0" w:firstLine="480" w:firstLineChars="200"/>
        <w:jc w:val="left"/>
        <w:rPr>
          <w:sz w:val="24"/>
        </w:rPr>
      </w:pPr>
      <w:r>
        <w:rPr>
          <w:sz w:val="24"/>
        </w:rPr>
        <w:t>我公司保证所投产品来自合法的供货渠道，若成交，则有义务向采购人提供其需要的有效书面证明材料。如果提供非法渠道的商品，视为欺诈，并承担相关责任。</w:t>
      </w:r>
    </w:p>
    <w:p>
      <w:pPr>
        <w:numPr>
          <w:ilvl w:val="0"/>
          <w:numId w:val="12"/>
        </w:numPr>
        <w:spacing w:line="360" w:lineRule="auto"/>
        <w:ind w:left="0" w:firstLine="480" w:firstLineChars="200"/>
        <w:jc w:val="left"/>
        <w:rPr>
          <w:sz w:val="24"/>
        </w:rPr>
      </w:pPr>
      <w:r>
        <w:rPr>
          <w:sz w:val="24"/>
        </w:rPr>
        <w:t>我公司已熟知贵中心关于本项目电子招投标的要求和规定，我公司完全响应本次招投标通过网上应答进行的方式，我方承诺投标数据以应答截止时间贵中心网络服务器数据库的记录为准，一切因网络通信或我方操作失误造成的应答数据错误或缺失均与贵中心无关，我方愿承担因此出现的任何风险和责任。</w:t>
      </w:r>
    </w:p>
    <w:p>
      <w:pPr>
        <w:numPr>
          <w:ilvl w:val="0"/>
          <w:numId w:val="12"/>
        </w:numPr>
        <w:spacing w:line="360" w:lineRule="auto"/>
        <w:ind w:left="0" w:firstLine="480" w:firstLineChars="200"/>
        <w:jc w:val="left"/>
        <w:rPr>
          <w:sz w:val="24"/>
        </w:rPr>
      </w:pPr>
      <w:r>
        <w:rPr>
          <w:sz w:val="24"/>
        </w:rPr>
        <w:t>我公司承诺完全符合《政府采购法》、《政府采购法实施条例》等法律法规规定，并随时接受采购人、采购代理机构的检查验证。在整个招标过程中，我公司若有违规行为，我公司完全接受贵中心依照相关法律法规和磋商文件的规定给予处罚。</w:t>
      </w:r>
    </w:p>
    <w:p>
      <w:pPr>
        <w:numPr>
          <w:ilvl w:val="0"/>
          <w:numId w:val="12"/>
        </w:numPr>
        <w:spacing w:line="360" w:lineRule="auto"/>
        <w:ind w:left="0" w:firstLine="480" w:firstLineChars="200"/>
        <w:jc w:val="left"/>
        <w:rPr>
          <w:sz w:val="24"/>
        </w:rPr>
      </w:pPr>
      <w:r>
        <w:rPr>
          <w:rFonts w:hint="eastAsia"/>
          <w:sz w:val="24"/>
        </w:rPr>
        <w:t>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sz w:val="24"/>
          <w:szCs w:val="24"/>
        </w:rPr>
        <w:t>投标截止日前3年在经营活动中没有重大违法记录</w:t>
      </w:r>
      <w:r>
        <w:rPr>
          <w:rFonts w:hint="eastAsia"/>
          <w:sz w:val="24"/>
        </w:rPr>
        <w:t>。</w:t>
      </w:r>
    </w:p>
    <w:p>
      <w:pPr>
        <w:numPr>
          <w:ilvl w:val="0"/>
          <w:numId w:val="12"/>
        </w:numPr>
        <w:spacing w:line="360" w:lineRule="auto"/>
        <w:ind w:left="0" w:firstLine="480" w:firstLineChars="200"/>
        <w:jc w:val="left"/>
        <w:rPr>
          <w:sz w:val="24"/>
        </w:rPr>
      </w:pPr>
      <w:r>
        <w:rPr>
          <w:sz w:val="24"/>
        </w:rPr>
        <w:t>我公司若成交，本承诺将成为合同不可分割的一部分，与合同具有同等的法律效力。</w:t>
      </w:r>
    </w:p>
    <w:p>
      <w:pPr>
        <w:numPr>
          <w:ilvl w:val="0"/>
          <w:numId w:val="12"/>
        </w:numPr>
        <w:spacing w:line="360" w:lineRule="auto"/>
        <w:ind w:left="0" w:firstLine="480" w:firstLineChars="200"/>
        <w:jc w:val="left"/>
        <w:rPr>
          <w:sz w:val="24"/>
        </w:rPr>
      </w:pPr>
      <w:r>
        <w:rPr>
          <w:sz w:val="24"/>
        </w:rPr>
        <w:t>如违反上述承诺，我公司投标无效且接受相关部门依法作出的处罚，并承担通过“天津市政府采购网”等相关媒体予以公布的任何风险和责任。</w:t>
      </w:r>
    </w:p>
    <w:p>
      <w:pPr>
        <w:numPr>
          <w:ilvl w:val="0"/>
          <w:numId w:val="12"/>
        </w:numPr>
        <w:spacing w:line="360" w:lineRule="auto"/>
        <w:ind w:left="0" w:firstLine="480" w:firstLineChars="200"/>
        <w:jc w:val="left"/>
        <w:rPr>
          <w:sz w:val="24"/>
        </w:rPr>
      </w:pPr>
      <w:r>
        <w:rPr>
          <w:sz w:val="24"/>
        </w:rPr>
        <w:t>与本投标有关的一切正式往来通讯请寄：</w:t>
      </w:r>
    </w:p>
    <w:p>
      <w:pPr>
        <w:spacing w:line="360" w:lineRule="auto"/>
        <w:ind w:firstLine="480" w:firstLineChars="200"/>
        <w:rPr>
          <w:sz w:val="24"/>
        </w:rPr>
      </w:pPr>
    </w:p>
    <w:p>
      <w:pPr>
        <w:spacing w:line="360" w:lineRule="auto"/>
        <w:ind w:firstLine="480" w:firstLineChars="200"/>
        <w:rPr>
          <w:sz w:val="24"/>
        </w:rPr>
      </w:pPr>
      <w:r>
        <w:rPr>
          <w:sz w:val="24"/>
        </w:rPr>
        <w:t>地    址：</w:t>
      </w:r>
    </w:p>
    <w:p>
      <w:pPr>
        <w:spacing w:line="360" w:lineRule="auto"/>
        <w:ind w:firstLine="480" w:firstLineChars="200"/>
        <w:rPr>
          <w:sz w:val="24"/>
        </w:rPr>
      </w:pPr>
      <w:r>
        <w:rPr>
          <w:sz w:val="24"/>
        </w:rPr>
        <w:t>邮政编码：</w:t>
      </w:r>
    </w:p>
    <w:p>
      <w:pPr>
        <w:spacing w:line="360" w:lineRule="auto"/>
        <w:ind w:firstLine="480" w:firstLineChars="200"/>
        <w:rPr>
          <w:sz w:val="24"/>
        </w:rPr>
      </w:pPr>
      <w:r>
        <w:rPr>
          <w:sz w:val="24"/>
        </w:rPr>
        <w:t>电    话：</w:t>
      </w:r>
    </w:p>
    <w:p>
      <w:pPr>
        <w:spacing w:line="360" w:lineRule="auto"/>
        <w:ind w:firstLine="480" w:firstLineChars="200"/>
        <w:rPr>
          <w:sz w:val="24"/>
        </w:rPr>
      </w:pPr>
      <w:r>
        <w:rPr>
          <w:sz w:val="24"/>
        </w:rPr>
        <w:t>传    真：</w:t>
      </w:r>
    </w:p>
    <w:p>
      <w:pPr>
        <w:spacing w:line="360" w:lineRule="auto"/>
        <w:ind w:firstLine="4080" w:firstLineChars="1700"/>
        <w:rPr>
          <w:sz w:val="24"/>
        </w:rPr>
      </w:pPr>
      <w:r>
        <w:rPr>
          <w:sz w:val="24"/>
        </w:rPr>
        <w:t>投标人名称：</w:t>
      </w:r>
    </w:p>
    <w:p>
      <w:pPr>
        <w:spacing w:line="360" w:lineRule="auto"/>
        <w:ind w:firstLine="4080"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tabs>
          <w:tab w:val="left" w:pos="360"/>
        </w:tabs>
        <w:spacing w:line="560" w:lineRule="exact"/>
        <w:jc w:val="center"/>
        <w:rPr>
          <w:b/>
          <w:sz w:val="24"/>
        </w:rPr>
      </w:pPr>
      <w:r>
        <w:rPr>
          <w:b/>
          <w:sz w:val="24"/>
        </w:rPr>
        <w:br w:type="page"/>
      </w:r>
      <w:r>
        <w:rPr>
          <w:b/>
          <w:sz w:val="24"/>
        </w:rPr>
        <w:t>附件2 ：</w:t>
      </w:r>
      <w:r>
        <w:rPr>
          <w:rFonts w:hint="eastAsia"/>
          <w:b/>
          <w:sz w:val="24"/>
        </w:rPr>
        <w:t>供应商资格要求证明文件</w:t>
      </w: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widowControl/>
        <w:jc w:val="left"/>
        <w:rPr>
          <w:b/>
          <w:sz w:val="24"/>
        </w:rPr>
      </w:pPr>
      <w:r>
        <w:rPr>
          <w:b/>
          <w:sz w:val="24"/>
        </w:rPr>
        <w:br w:type="page"/>
      </w:r>
    </w:p>
    <w:p>
      <w:pPr>
        <w:spacing w:line="460" w:lineRule="exact"/>
        <w:ind w:left="192"/>
        <w:rPr>
          <w:b/>
          <w:sz w:val="24"/>
        </w:rPr>
      </w:pPr>
      <w:r>
        <w:rPr>
          <w:b/>
          <w:sz w:val="24"/>
        </w:rPr>
        <w:t>附件3</w:t>
      </w:r>
    </w:p>
    <w:p>
      <w:pPr>
        <w:autoSpaceDN w:val="0"/>
        <w:spacing w:line="360" w:lineRule="auto"/>
        <w:jc w:val="center"/>
        <w:rPr>
          <w:b/>
          <w:bCs/>
          <w:sz w:val="24"/>
        </w:rPr>
      </w:pPr>
      <w:r>
        <w:rPr>
          <w:rFonts w:hint="eastAsia"/>
          <w:b/>
          <w:bCs/>
          <w:sz w:val="24"/>
        </w:rPr>
        <w:t>磋商</w:t>
      </w:r>
      <w:r>
        <w:rPr>
          <w:b/>
          <w:bCs/>
          <w:sz w:val="24"/>
        </w:rPr>
        <w:t>代表人授权书</w:t>
      </w:r>
    </w:p>
    <w:p>
      <w:pPr>
        <w:spacing w:line="360" w:lineRule="auto"/>
        <w:rPr>
          <w:sz w:val="24"/>
          <w:szCs w:val="21"/>
        </w:rPr>
      </w:pPr>
    </w:p>
    <w:p>
      <w:pPr>
        <w:spacing w:line="360" w:lineRule="auto"/>
        <w:rPr>
          <w:sz w:val="24"/>
          <w:szCs w:val="21"/>
        </w:rPr>
      </w:pPr>
      <w:r>
        <w:rPr>
          <w:sz w:val="24"/>
          <w:szCs w:val="21"/>
        </w:rPr>
        <w:t>致：天津市滨海新区政府采购中心</w:t>
      </w:r>
    </w:p>
    <w:p>
      <w:pPr>
        <w:spacing w:line="360" w:lineRule="auto"/>
        <w:ind w:firstLine="480" w:firstLineChars="200"/>
        <w:rPr>
          <w:sz w:val="24"/>
          <w:szCs w:val="21"/>
        </w:rPr>
      </w:pPr>
      <w:r>
        <w:rPr>
          <w:rFonts w:hint="eastAsia"/>
          <w:sz w:val="24"/>
          <w:szCs w:val="21"/>
        </w:rPr>
        <w:t>我单位</w:t>
      </w:r>
      <w:r>
        <w:rPr>
          <w:sz w:val="24"/>
          <w:szCs w:val="21"/>
        </w:rPr>
        <w:t>授权委托在职职工_______________（姓名，职务）（身份证号码：____________________</w:t>
      </w:r>
      <w:r>
        <w:rPr>
          <w:rFonts w:hint="eastAsia"/>
          <w:sz w:val="24"/>
          <w:szCs w:val="21"/>
        </w:rPr>
        <w:t>，本月社保缴纳单位：</w:t>
      </w:r>
      <w:r>
        <w:rPr>
          <w:rFonts w:hint="eastAsia"/>
          <w:sz w:val="24"/>
          <w:szCs w:val="21"/>
          <w:u w:val="single"/>
        </w:rPr>
        <w:t xml:space="preserve">                    </w:t>
      </w:r>
      <w:r>
        <w:rPr>
          <w:rFonts w:hint="eastAsia"/>
          <w:sz w:val="24"/>
          <w:szCs w:val="21"/>
        </w:rPr>
        <w:t xml:space="preserve"> ，</w:t>
      </w:r>
      <w:r>
        <w:rPr>
          <w:sz w:val="24"/>
          <w:szCs w:val="21"/>
        </w:rPr>
        <w:t>联系电话：_______________）作为</w:t>
      </w:r>
      <w:r>
        <w:rPr>
          <w:rFonts w:hint="eastAsia"/>
          <w:sz w:val="24"/>
          <w:szCs w:val="21"/>
        </w:rPr>
        <w:t>磋商</w:t>
      </w:r>
      <w:r>
        <w:rPr>
          <w:sz w:val="24"/>
          <w:szCs w:val="21"/>
        </w:rPr>
        <w:t>代表人以我方的名义参加贵中心______________________项目（项目编号：_______________）的投标活动，并代表我方全权办理针对上述项目的</w:t>
      </w:r>
      <w:r>
        <w:rPr>
          <w:rFonts w:hint="eastAsia"/>
          <w:sz w:val="24"/>
          <w:szCs w:val="21"/>
        </w:rPr>
        <w:t>递交响应文件</w:t>
      </w:r>
      <w:r>
        <w:rPr>
          <w:sz w:val="24"/>
          <w:szCs w:val="21"/>
        </w:rPr>
        <w:t>、</w:t>
      </w:r>
      <w:r>
        <w:rPr>
          <w:rFonts w:hint="eastAsia"/>
          <w:sz w:val="24"/>
          <w:szCs w:val="21"/>
        </w:rPr>
        <w:t>磋商</w:t>
      </w:r>
      <w:r>
        <w:rPr>
          <w:sz w:val="24"/>
          <w:szCs w:val="21"/>
        </w:rPr>
        <w:t>、</w:t>
      </w:r>
      <w:r>
        <w:rPr>
          <w:rFonts w:hint="eastAsia"/>
          <w:sz w:val="24"/>
          <w:szCs w:val="21"/>
        </w:rPr>
        <w:t>响应</w:t>
      </w:r>
      <w:r>
        <w:rPr>
          <w:sz w:val="24"/>
          <w:szCs w:val="21"/>
        </w:rPr>
        <w:t>文件澄清、</w:t>
      </w:r>
      <w:r>
        <w:rPr>
          <w:rFonts w:hint="eastAsia"/>
          <w:sz w:val="24"/>
          <w:szCs w:val="21"/>
        </w:rPr>
        <w:t>说明或者更正等一切具体事务和签署相关文件。</w:t>
      </w:r>
    </w:p>
    <w:p>
      <w:pPr>
        <w:spacing w:line="360" w:lineRule="auto"/>
        <w:ind w:firstLine="480" w:firstLineChars="200"/>
        <w:rPr>
          <w:sz w:val="24"/>
          <w:szCs w:val="21"/>
        </w:rPr>
      </w:pPr>
      <w:r>
        <w:rPr>
          <w:sz w:val="24"/>
          <w:szCs w:val="21"/>
        </w:rPr>
        <w:t>我方对</w:t>
      </w:r>
      <w:r>
        <w:rPr>
          <w:rFonts w:hint="eastAsia"/>
          <w:sz w:val="24"/>
          <w:szCs w:val="21"/>
        </w:rPr>
        <w:t>磋商代表人</w:t>
      </w:r>
      <w:r>
        <w:rPr>
          <w:sz w:val="24"/>
          <w:szCs w:val="21"/>
        </w:rPr>
        <w:t>的签名事项负全部责任。</w:t>
      </w:r>
    </w:p>
    <w:p>
      <w:pPr>
        <w:spacing w:line="360" w:lineRule="auto"/>
        <w:ind w:firstLine="480" w:firstLineChars="200"/>
        <w:rPr>
          <w:sz w:val="24"/>
          <w:szCs w:val="21"/>
        </w:rPr>
      </w:pPr>
      <w:r>
        <w:rPr>
          <w:rFonts w:hint="eastAsia"/>
          <w:sz w:val="24"/>
          <w:szCs w:val="21"/>
        </w:rPr>
        <w:t>我单位对填写的上述授权代表的社保缴纳单位信息的真实性负责，如有不实，愿承担相应的责任。</w:t>
      </w:r>
    </w:p>
    <w:p>
      <w:pPr>
        <w:spacing w:line="360" w:lineRule="auto"/>
        <w:ind w:firstLine="480" w:firstLineChars="200"/>
        <w:rPr>
          <w:sz w:val="24"/>
          <w:szCs w:val="21"/>
        </w:rPr>
      </w:pPr>
      <w:r>
        <w:rPr>
          <w:sz w:val="24"/>
          <w:szCs w:val="21"/>
        </w:rPr>
        <w:t>本授权书至</w:t>
      </w:r>
      <w:r>
        <w:rPr>
          <w:rFonts w:hint="eastAsia"/>
          <w:sz w:val="24"/>
          <w:szCs w:val="21"/>
        </w:rPr>
        <w:t>磋商</w:t>
      </w:r>
      <w:r>
        <w:rPr>
          <w:sz w:val="24"/>
          <w:szCs w:val="21"/>
        </w:rPr>
        <w:t>有效期结束前始终有效。</w:t>
      </w:r>
    </w:p>
    <w:p>
      <w:pPr>
        <w:spacing w:line="360" w:lineRule="auto"/>
        <w:ind w:firstLine="480" w:firstLineChars="200"/>
        <w:rPr>
          <w:sz w:val="24"/>
          <w:szCs w:val="21"/>
        </w:rPr>
      </w:pPr>
      <w:r>
        <w:rPr>
          <w:rFonts w:hint="eastAsia"/>
          <w:sz w:val="24"/>
          <w:szCs w:val="21"/>
        </w:rPr>
        <w:t>磋商</w:t>
      </w:r>
      <w:r>
        <w:rPr>
          <w:sz w:val="24"/>
          <w:szCs w:val="21"/>
        </w:rPr>
        <w:t>代表人无转委托权，特此委托。</w:t>
      </w:r>
    </w:p>
    <w:p>
      <w:pPr>
        <w:spacing w:line="360" w:lineRule="auto"/>
        <w:ind w:firstLine="480" w:firstLineChars="200"/>
        <w:rPr>
          <w:sz w:val="24"/>
        </w:rPr>
      </w:pPr>
    </w:p>
    <w:p>
      <w:pPr>
        <w:spacing w:line="360" w:lineRule="auto"/>
        <w:ind w:firstLine="480" w:firstLineChars="200"/>
        <w:rPr>
          <w:sz w:val="24"/>
        </w:rPr>
      </w:pPr>
    </w:p>
    <w:p>
      <w:pPr>
        <w:spacing w:line="480" w:lineRule="auto"/>
        <w:jc w:val="center"/>
        <w:rPr>
          <w:sz w:val="24"/>
        </w:rPr>
      </w:pPr>
      <w:r>
        <w:rPr>
          <w:sz w:val="24"/>
        </w:rPr>
        <w:t>法定代表人签字或名章：</w:t>
      </w:r>
    </w:p>
    <w:p>
      <w:pPr>
        <w:spacing w:line="360" w:lineRule="auto"/>
        <w:ind w:firstLine="5040" w:firstLineChars="2100"/>
        <w:rPr>
          <w:sz w:val="24"/>
        </w:rPr>
      </w:pPr>
      <w:r>
        <w:rPr>
          <w:sz w:val="24"/>
        </w:rPr>
        <w:t xml:space="preserve">     年   月   日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left"/>
              <w:rPr>
                <w:sz w:val="24"/>
              </w:rPr>
            </w:pPr>
            <w:r>
              <w:rPr>
                <w:rFonts w:hint="eastAsia"/>
                <w:sz w:val="24"/>
              </w:rPr>
              <w:t>磋商代表人身份证正面</w:t>
            </w: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tc>
        <w:tc>
          <w:tcPr>
            <w:tcW w:w="4261" w:type="dxa"/>
          </w:tcPr>
          <w:p>
            <w:pPr>
              <w:spacing w:line="360" w:lineRule="auto"/>
              <w:jc w:val="left"/>
              <w:rPr>
                <w:sz w:val="24"/>
              </w:rPr>
            </w:pPr>
            <w:r>
              <w:rPr>
                <w:rFonts w:hint="eastAsia"/>
                <w:sz w:val="24"/>
              </w:rPr>
              <w:t>磋商代表人身份证背面</w:t>
            </w:r>
          </w:p>
        </w:tc>
      </w:tr>
    </w:tbl>
    <w:p>
      <w:pPr>
        <w:spacing w:line="360" w:lineRule="auto"/>
        <w:rPr>
          <w:sz w:val="24"/>
        </w:rPr>
      </w:pPr>
      <w:r>
        <w:rPr>
          <w:sz w:val="24"/>
        </w:rPr>
        <w:t>此授权书填写完毕后打印，由法定代表人签字或加盖名章，扫描后放入电子投标文件。</w:t>
      </w:r>
    </w:p>
    <w:p>
      <w:pPr>
        <w:spacing w:line="460" w:lineRule="exact"/>
        <w:jc w:val="left"/>
        <w:rPr>
          <w:b/>
          <w:sz w:val="24"/>
        </w:rPr>
      </w:pPr>
      <w:r>
        <w:rPr>
          <w:b/>
          <w:sz w:val="24"/>
        </w:rPr>
        <w:br w:type="page"/>
      </w:r>
    </w:p>
    <w:p>
      <w:pPr>
        <w:spacing w:line="460" w:lineRule="exact"/>
        <w:jc w:val="left"/>
        <w:rPr>
          <w:b/>
          <w:sz w:val="24"/>
        </w:rPr>
      </w:pPr>
      <w:r>
        <w:rPr>
          <w:rFonts w:hint="eastAsia"/>
          <w:b/>
          <w:sz w:val="24"/>
        </w:rPr>
        <w:t>附件3-2</w:t>
      </w:r>
    </w:p>
    <w:p>
      <w:pPr>
        <w:spacing w:line="360" w:lineRule="auto"/>
        <w:rPr>
          <w:sz w:val="24"/>
        </w:rPr>
      </w:pPr>
    </w:p>
    <w:p>
      <w:pPr>
        <w:spacing w:line="460" w:lineRule="exact"/>
        <w:jc w:val="center"/>
        <w:rPr>
          <w:b/>
          <w:sz w:val="24"/>
        </w:rPr>
      </w:pPr>
      <w:r>
        <w:rPr>
          <w:rFonts w:hint="eastAsia"/>
          <w:b/>
          <w:sz w:val="24"/>
        </w:rPr>
        <w:t>法人企业授权书</w:t>
      </w:r>
    </w:p>
    <w:p>
      <w:pPr>
        <w:spacing w:line="460" w:lineRule="exact"/>
        <w:rPr>
          <w:b/>
          <w:sz w:val="24"/>
        </w:rPr>
      </w:pPr>
    </w:p>
    <w:p>
      <w:pPr>
        <w:spacing w:line="460" w:lineRule="exact"/>
        <w:ind w:firstLine="480" w:firstLineChars="200"/>
        <w:rPr>
          <w:sz w:val="24"/>
        </w:rPr>
      </w:pPr>
      <w:r>
        <w:rPr>
          <w:rFonts w:hint="eastAsia"/>
          <w:sz w:val="24"/>
          <w:u w:val="single"/>
        </w:rPr>
        <w:t xml:space="preserve">                </w:t>
      </w:r>
      <w:r>
        <w:rPr>
          <w:rFonts w:hint="eastAsia"/>
          <w:sz w:val="24"/>
        </w:rPr>
        <w:t>（法人企业名称）授权</w:t>
      </w:r>
      <w:r>
        <w:rPr>
          <w:rFonts w:hint="eastAsia"/>
          <w:sz w:val="24"/>
          <w:u w:val="single"/>
        </w:rPr>
        <w:t xml:space="preserve">                   </w:t>
      </w:r>
      <w:r>
        <w:rPr>
          <w:rFonts w:hint="eastAsia"/>
          <w:sz w:val="24"/>
        </w:rPr>
        <w:t>（分支机构名称）作为投标人参与</w:t>
      </w:r>
      <w:r>
        <w:rPr>
          <w:sz w:val="24"/>
          <w:u w:val="single"/>
        </w:rPr>
        <w:t xml:space="preserve">                     </w:t>
      </w:r>
      <w:r>
        <w:rPr>
          <w:sz w:val="24"/>
        </w:rPr>
        <w:t>项目（项目编号：</w:t>
      </w:r>
      <w:r>
        <w:rPr>
          <w:sz w:val="24"/>
          <w:u w:val="single"/>
        </w:rPr>
        <w:t xml:space="preserve">               </w:t>
      </w:r>
      <w:r>
        <w:rPr>
          <w:sz w:val="24"/>
        </w:rPr>
        <w:t>）的</w:t>
      </w:r>
      <w:r>
        <w:rPr>
          <w:rFonts w:hint="eastAsia"/>
          <w:sz w:val="24"/>
        </w:rPr>
        <w:t>政府采购活动，包括递交投标文件、报价、询标、签订合同、合同执行（可选、也可增加或减少授权事宜）有关事宜，除法律法规另有规定的外，该分支机构可使用法人企业的资质证书。</w:t>
      </w:r>
    </w:p>
    <w:p>
      <w:pPr>
        <w:spacing w:line="460" w:lineRule="exact"/>
        <w:ind w:firstLine="480" w:firstLineChars="200"/>
        <w:rPr>
          <w:sz w:val="24"/>
        </w:rPr>
      </w:pPr>
      <w:r>
        <w:rPr>
          <w:rFonts w:hint="eastAsia"/>
          <w:sz w:val="24"/>
          <w:u w:val="single"/>
        </w:rPr>
        <w:t xml:space="preserve">                </w:t>
      </w:r>
      <w:r>
        <w:rPr>
          <w:rFonts w:hint="eastAsia"/>
          <w:sz w:val="24"/>
        </w:rPr>
        <w:t>（法人企业名称）不再授权其他分支机构参与本项目政府采购活动。</w:t>
      </w:r>
    </w:p>
    <w:p>
      <w:pPr>
        <w:spacing w:line="460" w:lineRule="exact"/>
        <w:ind w:firstLine="480" w:firstLineChars="200"/>
        <w:rPr>
          <w:sz w:val="24"/>
        </w:rPr>
      </w:pPr>
      <w:r>
        <w:rPr>
          <w:rFonts w:hint="eastAsia"/>
          <w:sz w:val="24"/>
        </w:rPr>
        <w:t>特此声明。</w:t>
      </w:r>
    </w:p>
    <w:p>
      <w:pPr>
        <w:spacing w:line="620" w:lineRule="exact"/>
        <w:rPr>
          <w:b/>
          <w:sz w:val="24"/>
        </w:rPr>
      </w:pPr>
    </w:p>
    <w:p>
      <w:pPr>
        <w:rPr>
          <w:b/>
          <w:sz w:val="24"/>
        </w:rPr>
      </w:pPr>
    </w:p>
    <w:p>
      <w:pPr>
        <w:rPr>
          <w:b/>
          <w:sz w:val="24"/>
        </w:rPr>
      </w:pPr>
    </w:p>
    <w:p>
      <w:pPr>
        <w:rPr>
          <w:b/>
          <w:sz w:val="24"/>
        </w:rPr>
      </w:pPr>
    </w:p>
    <w:p>
      <w:pPr>
        <w:rPr>
          <w:b/>
          <w:sz w:val="24"/>
        </w:rPr>
      </w:pPr>
    </w:p>
    <w:p>
      <w:pPr>
        <w:spacing w:line="480" w:lineRule="auto"/>
        <w:jc w:val="center"/>
        <w:rPr>
          <w:sz w:val="24"/>
        </w:rPr>
      </w:pPr>
      <w:r>
        <w:rPr>
          <w:sz w:val="24"/>
        </w:rPr>
        <w:t xml:space="preserve">       </w:t>
      </w:r>
      <w:r>
        <w:rPr>
          <w:rFonts w:hint="eastAsia"/>
          <w:sz w:val="24"/>
        </w:rPr>
        <w:t xml:space="preserve">    法人企业</w:t>
      </w:r>
      <w:r>
        <w:rPr>
          <w:sz w:val="24"/>
        </w:rPr>
        <w:t>公章：</w:t>
      </w:r>
    </w:p>
    <w:p>
      <w:pPr>
        <w:spacing w:line="480" w:lineRule="auto"/>
        <w:rPr>
          <w:sz w:val="24"/>
        </w:rPr>
      </w:pPr>
      <w:r>
        <w:rPr>
          <w:sz w:val="24"/>
        </w:rPr>
        <w:t xml:space="preserve">  </w:t>
      </w:r>
    </w:p>
    <w:p>
      <w:pPr>
        <w:spacing w:line="480" w:lineRule="auto"/>
        <w:rPr>
          <w:sz w:val="24"/>
        </w:rPr>
      </w:pPr>
      <w:r>
        <w:rPr>
          <w:sz w:val="24"/>
        </w:rPr>
        <w:t xml:space="preserve">                                             年    月   日  </w:t>
      </w:r>
    </w:p>
    <w:p>
      <w:pPr>
        <w:spacing w:line="360" w:lineRule="auto"/>
        <w:rPr>
          <w:sz w:val="24"/>
        </w:rPr>
      </w:pPr>
    </w:p>
    <w:p>
      <w:pPr>
        <w:spacing w:line="360" w:lineRule="auto"/>
        <w:rPr>
          <w:sz w:val="24"/>
        </w:rPr>
      </w:pPr>
      <w:r>
        <w:rPr>
          <w:rFonts w:hint="eastAsia"/>
          <w:sz w:val="24"/>
        </w:rPr>
        <w:t>此授权书填写完毕后打印，加盖法人企业</w:t>
      </w:r>
      <w:r>
        <w:rPr>
          <w:sz w:val="24"/>
        </w:rPr>
        <w:t>公章</w:t>
      </w:r>
      <w:r>
        <w:rPr>
          <w:rFonts w:hint="eastAsia"/>
          <w:sz w:val="24"/>
        </w:rPr>
        <w:t>，扫描后放入电子响应文件。</w:t>
      </w:r>
    </w:p>
    <w:p>
      <w:pPr>
        <w:spacing w:line="360" w:lineRule="auto"/>
        <w:rPr>
          <w:sz w:val="24"/>
        </w:rPr>
      </w:pPr>
    </w:p>
    <w:p>
      <w:pPr>
        <w:spacing w:line="460" w:lineRule="exact"/>
        <w:jc w:val="left"/>
        <w:rPr>
          <w:b/>
          <w:sz w:val="24"/>
        </w:rPr>
      </w:pPr>
      <w:r>
        <w:rPr>
          <w:b/>
          <w:sz w:val="24"/>
        </w:rPr>
        <w:br w:type="page"/>
      </w:r>
    </w:p>
    <w:p>
      <w:pPr>
        <w:spacing w:line="460" w:lineRule="exact"/>
        <w:jc w:val="left"/>
        <w:rPr>
          <w:b/>
          <w:sz w:val="24"/>
        </w:rPr>
      </w:pPr>
      <w:r>
        <w:rPr>
          <w:b/>
          <w:sz w:val="24"/>
        </w:rPr>
        <w:t>附件4-1：</w:t>
      </w:r>
    </w:p>
    <w:p>
      <w:pPr>
        <w:spacing w:line="460" w:lineRule="exact"/>
        <w:ind w:left="181"/>
        <w:jc w:val="center"/>
        <w:rPr>
          <w:b/>
          <w:sz w:val="24"/>
        </w:rPr>
      </w:pPr>
    </w:p>
    <w:p>
      <w:pPr>
        <w:autoSpaceDN w:val="0"/>
        <w:spacing w:line="360" w:lineRule="auto"/>
        <w:jc w:val="center"/>
        <w:rPr>
          <w:b/>
          <w:bCs/>
          <w:sz w:val="24"/>
        </w:rPr>
      </w:pPr>
      <w:r>
        <w:rPr>
          <w:b/>
          <w:bCs/>
          <w:sz w:val="24"/>
        </w:rPr>
        <w:t>商务要求点对点应答表</w:t>
      </w:r>
    </w:p>
    <w:p>
      <w:pPr>
        <w:spacing w:line="460" w:lineRule="exact"/>
        <w:rPr>
          <w:sz w:val="24"/>
        </w:rPr>
      </w:pPr>
    </w:p>
    <w:p>
      <w:pPr>
        <w:spacing w:line="460" w:lineRule="exact"/>
        <w:rPr>
          <w:sz w:val="24"/>
        </w:rPr>
      </w:pPr>
      <w:r>
        <w:rPr>
          <w:sz w:val="24"/>
        </w:rPr>
        <w:t>项目名称：</w:t>
      </w:r>
    </w:p>
    <w:p>
      <w:pPr>
        <w:spacing w:line="460" w:lineRule="exact"/>
        <w:rPr>
          <w:sz w:val="24"/>
        </w:rPr>
      </w:pPr>
      <w:r>
        <w:rPr>
          <w:sz w:val="24"/>
        </w:rPr>
        <w:t>项目编号：</w:t>
      </w:r>
    </w:p>
    <w:p>
      <w:pPr>
        <w:spacing w:line="460" w:lineRule="exact"/>
        <w:rPr>
          <w:sz w:val="24"/>
          <w:u w:val="single"/>
        </w:rPr>
      </w:pPr>
      <w:r>
        <w:rPr>
          <w:sz w:val="24"/>
        </w:rPr>
        <w:t>包号：</w:t>
      </w:r>
    </w:p>
    <w:p>
      <w:pPr>
        <w:spacing w:line="460" w:lineRule="exact"/>
        <w:rPr>
          <w:sz w:val="24"/>
          <w:u w:val="single"/>
        </w:rPr>
      </w:pPr>
    </w:p>
    <w:tbl>
      <w:tblPr>
        <w:tblStyle w:val="19"/>
        <w:tblW w:w="5133" w:type="pct"/>
        <w:tblInd w:w="0" w:type="dxa"/>
        <w:tblLayout w:type="autofit"/>
        <w:tblCellMar>
          <w:top w:w="0" w:type="dxa"/>
          <w:left w:w="108" w:type="dxa"/>
          <w:bottom w:w="0" w:type="dxa"/>
          <w:right w:w="108" w:type="dxa"/>
        </w:tblCellMar>
      </w:tblPr>
      <w:tblGrid>
        <w:gridCol w:w="1704"/>
        <w:gridCol w:w="2229"/>
        <w:gridCol w:w="2549"/>
        <w:gridCol w:w="1134"/>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kern w:val="0"/>
                <w:szCs w:val="21"/>
              </w:rPr>
            </w:pPr>
            <w:r>
              <w:rPr>
                <w:kern w:val="0"/>
                <w:szCs w:val="21"/>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招标要求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（二）时间、地点要求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（三）付款方式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（四）投标保证金和履约保证金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bl>
    <w:p>
      <w:pPr>
        <w:spacing w:line="620" w:lineRule="exact"/>
        <w:rPr>
          <w:sz w:val="24"/>
        </w:rPr>
      </w:pPr>
      <w:r>
        <w:rPr>
          <w:sz w:val="24"/>
        </w:rPr>
        <w:t>注：</w:t>
      </w:r>
    </w:p>
    <w:p>
      <w:pPr>
        <w:spacing w:line="360" w:lineRule="auto"/>
        <w:rPr>
          <w:sz w:val="24"/>
        </w:rPr>
      </w:pPr>
      <w:r>
        <w:rPr>
          <w:sz w:val="24"/>
        </w:rPr>
        <w:t>1. 不如实填写偏离情况的响应文件将视为虚假材料。</w:t>
      </w:r>
    </w:p>
    <w:p>
      <w:pPr>
        <w:spacing w:line="360" w:lineRule="auto"/>
        <w:rPr>
          <w:sz w:val="24"/>
        </w:rPr>
      </w:pPr>
      <w:r>
        <w:rPr>
          <w:sz w:val="24"/>
        </w:rPr>
        <w:t>2. 招标要求指磋商文件中规定的具体要求，投标应答指响应文件的具体内容。</w:t>
      </w:r>
    </w:p>
    <w:p>
      <w:pPr>
        <w:spacing w:line="360" w:lineRule="auto"/>
        <w:rPr>
          <w:sz w:val="24"/>
        </w:rPr>
      </w:pPr>
      <w:r>
        <w:rPr>
          <w:rFonts w:hint="eastAsia"/>
          <w:sz w:val="24"/>
        </w:rPr>
        <w:t>3</w:t>
      </w:r>
      <w:r>
        <w:rPr>
          <w:sz w:val="24"/>
        </w:rPr>
        <w:t>. 偏离说明指招标要求与投标应答之间的不同之处。</w:t>
      </w:r>
    </w:p>
    <w:p>
      <w:pPr>
        <w:spacing w:line="360" w:lineRule="auto"/>
        <w:rPr>
          <w:sz w:val="24"/>
        </w:rPr>
      </w:pPr>
    </w:p>
    <w:p>
      <w:pPr>
        <w:spacing w:line="360" w:lineRule="auto"/>
        <w:ind w:firstLine="4080" w:firstLineChars="1700"/>
        <w:rPr>
          <w:sz w:val="24"/>
        </w:rPr>
      </w:pPr>
      <w:r>
        <w:rPr>
          <w:sz w:val="24"/>
        </w:rPr>
        <w:t>投标人名称：</w:t>
      </w:r>
    </w:p>
    <w:p>
      <w:pPr>
        <w:spacing w:line="360" w:lineRule="auto"/>
        <w:ind w:firstLine="4080" w:firstLineChars="1700"/>
        <w:rPr>
          <w:sz w:val="24"/>
        </w:rPr>
      </w:pPr>
    </w:p>
    <w:p>
      <w:pPr>
        <w:spacing w:line="360" w:lineRule="auto"/>
        <w:ind w:firstLine="4080" w:firstLineChars="1700"/>
        <w:rPr>
          <w:sz w:val="24"/>
        </w:rPr>
      </w:pPr>
      <w:r>
        <w:rPr>
          <w:sz w:val="24"/>
        </w:rPr>
        <w:t>日期：年月日</w:t>
      </w:r>
    </w:p>
    <w:p>
      <w:pPr>
        <w:tabs>
          <w:tab w:val="left" w:pos="360"/>
        </w:tabs>
        <w:spacing w:afterLines="100" w:line="360" w:lineRule="auto"/>
        <w:ind w:firstLine="480" w:firstLineChars="200"/>
        <w:rPr>
          <w:b/>
          <w:sz w:val="24"/>
        </w:rPr>
      </w:pPr>
      <w:r>
        <w:rPr>
          <w:sz w:val="24"/>
        </w:rPr>
        <w:br w:type="page"/>
      </w:r>
      <w:r>
        <w:rPr>
          <w:b/>
          <w:sz w:val="24"/>
        </w:rPr>
        <w:t>附件4-2</w:t>
      </w:r>
    </w:p>
    <w:p>
      <w:pPr>
        <w:autoSpaceDN w:val="0"/>
        <w:spacing w:line="360" w:lineRule="auto"/>
        <w:jc w:val="center"/>
        <w:rPr>
          <w:b/>
          <w:bCs/>
          <w:sz w:val="24"/>
        </w:rPr>
      </w:pPr>
      <w:r>
        <w:rPr>
          <w:b/>
          <w:bCs/>
          <w:sz w:val="24"/>
        </w:rPr>
        <w:t>技术要求点对点应答表</w:t>
      </w:r>
    </w:p>
    <w:p>
      <w:pPr>
        <w:spacing w:line="460" w:lineRule="exact"/>
        <w:rPr>
          <w:sz w:val="24"/>
        </w:rPr>
      </w:pPr>
    </w:p>
    <w:p>
      <w:pPr>
        <w:spacing w:line="460" w:lineRule="exact"/>
        <w:rPr>
          <w:sz w:val="24"/>
        </w:rPr>
      </w:pPr>
      <w:r>
        <w:rPr>
          <w:sz w:val="24"/>
        </w:rPr>
        <w:t>项目名称：</w:t>
      </w:r>
    </w:p>
    <w:p>
      <w:pPr>
        <w:spacing w:line="460" w:lineRule="exact"/>
        <w:rPr>
          <w:sz w:val="24"/>
        </w:rPr>
      </w:pPr>
      <w:r>
        <w:rPr>
          <w:sz w:val="24"/>
        </w:rPr>
        <w:t>项目编号：</w:t>
      </w:r>
    </w:p>
    <w:p>
      <w:pPr>
        <w:spacing w:line="460" w:lineRule="exact"/>
        <w:rPr>
          <w:sz w:val="24"/>
          <w:u w:val="single"/>
        </w:rPr>
      </w:pPr>
      <w:r>
        <w:rPr>
          <w:sz w:val="24"/>
        </w:rPr>
        <w:t>包号：</w:t>
      </w:r>
    </w:p>
    <w:p>
      <w:pPr>
        <w:spacing w:line="460" w:lineRule="exact"/>
        <w:rPr>
          <w:sz w:val="24"/>
          <w:u w:val="single"/>
        </w:rPr>
      </w:pPr>
    </w:p>
    <w:tbl>
      <w:tblPr>
        <w:tblStyle w:val="19"/>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3922"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1</w:t>
            </w:r>
          </w:p>
        </w:tc>
        <w:tc>
          <w:tcPr>
            <w:tcW w:w="3922" w:type="dxa"/>
            <w:shd w:val="clear" w:color="auto" w:fill="auto"/>
            <w:vAlign w:val="center"/>
          </w:tcPr>
          <w:p>
            <w:pPr>
              <w:widowControl/>
              <w:snapToGrid w:val="0"/>
              <w:jc w:val="left"/>
              <w:rPr>
                <w:kern w:val="0"/>
                <w:sz w:val="24"/>
                <w:szCs w:val="21"/>
              </w:rPr>
            </w:pPr>
            <w:r>
              <w:rPr>
                <w:kern w:val="0"/>
                <w:sz w:val="24"/>
                <w:szCs w:val="21"/>
              </w:rPr>
              <w:t>（一）</w:t>
            </w:r>
            <w:r>
              <w:rPr>
                <w:sz w:val="24"/>
              </w:rPr>
              <w:t>投标人须承诺所提供的服务、人员及设备符合相关强制性规定</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5"/>
            <w:shd w:val="clear" w:color="auto" w:fill="auto"/>
            <w:vAlign w:val="center"/>
          </w:tcPr>
          <w:p>
            <w:pPr>
              <w:widowControl/>
              <w:snapToGrid w:val="0"/>
              <w:ind w:firstLine="360" w:firstLineChars="150"/>
              <w:rPr>
                <w:kern w:val="0"/>
                <w:sz w:val="24"/>
                <w:szCs w:val="21"/>
              </w:rPr>
            </w:pPr>
            <w:r>
              <w:rPr>
                <w:kern w:val="0"/>
                <w:sz w:val="24"/>
                <w:szCs w:val="21"/>
              </w:rPr>
              <w:t>2.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3922"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bl>
    <w:p>
      <w:pPr>
        <w:spacing w:line="620" w:lineRule="exact"/>
        <w:rPr>
          <w:sz w:val="24"/>
        </w:rPr>
      </w:pPr>
      <w:r>
        <w:rPr>
          <w:sz w:val="24"/>
        </w:rPr>
        <w:t>注：</w:t>
      </w:r>
    </w:p>
    <w:p>
      <w:pPr>
        <w:spacing w:line="360" w:lineRule="auto"/>
        <w:rPr>
          <w:sz w:val="24"/>
        </w:rPr>
      </w:pPr>
      <w:r>
        <w:rPr>
          <w:sz w:val="24"/>
        </w:rPr>
        <w:t>1. 不如实填写偏离情况的响应文件将视为虚假材料。</w:t>
      </w:r>
    </w:p>
    <w:p>
      <w:pPr>
        <w:spacing w:line="360" w:lineRule="auto"/>
        <w:rPr>
          <w:sz w:val="24"/>
        </w:rPr>
      </w:pPr>
      <w:r>
        <w:rPr>
          <w:sz w:val="24"/>
        </w:rPr>
        <w:t>2. 招标要求指磋商文件中规定的具体要求，投标应答指响应文件的具体内容。</w:t>
      </w:r>
    </w:p>
    <w:p>
      <w:pPr>
        <w:spacing w:line="360" w:lineRule="auto"/>
        <w:rPr>
          <w:sz w:val="24"/>
        </w:rPr>
      </w:pPr>
      <w:r>
        <w:rPr>
          <w:sz w:val="24"/>
        </w:rPr>
        <w:t>3. 偏离说明指招标要求与投标应答之间的不同之处。</w:t>
      </w:r>
    </w:p>
    <w:p>
      <w:pPr>
        <w:spacing w:line="360" w:lineRule="auto"/>
        <w:rPr>
          <w:sz w:val="24"/>
        </w:rPr>
      </w:pPr>
      <w:r>
        <w:rPr>
          <w:sz w:val="24"/>
        </w:rPr>
        <w:t>4. 投标人在上表“项目需求书要求”的投标应答中必须列出具体数值或内容。如投标人未应答或只注明“符合”、“满足”等类似无具体内容的表述，将被视为不符合磋商文件要求。投标人自行承担由此造成的一切后果。</w:t>
      </w:r>
    </w:p>
    <w:p>
      <w:pPr>
        <w:spacing w:line="360" w:lineRule="auto"/>
        <w:rPr>
          <w:sz w:val="24"/>
        </w:rPr>
      </w:pPr>
    </w:p>
    <w:p>
      <w:pPr>
        <w:spacing w:line="360" w:lineRule="auto"/>
        <w:ind w:firstLine="4080" w:firstLineChars="1700"/>
        <w:rPr>
          <w:sz w:val="24"/>
        </w:rPr>
      </w:pPr>
      <w:r>
        <w:rPr>
          <w:sz w:val="24"/>
        </w:rPr>
        <w:t>投标人名称：</w:t>
      </w:r>
    </w:p>
    <w:p>
      <w:pPr>
        <w:spacing w:line="460" w:lineRule="exact"/>
        <w:ind w:left="192" w:firstLine="3948" w:firstLineChars="1645"/>
        <w:rPr>
          <w:sz w:val="24"/>
        </w:rPr>
      </w:pPr>
      <w:r>
        <w:rPr>
          <w:sz w:val="24"/>
        </w:rPr>
        <w:t>日期：年月日</w:t>
      </w:r>
    </w:p>
    <w:p>
      <w:pPr>
        <w:spacing w:line="480" w:lineRule="auto"/>
        <w:rPr>
          <w:b/>
          <w:sz w:val="24"/>
        </w:rPr>
      </w:pPr>
      <w:r>
        <w:rPr>
          <w:b/>
          <w:sz w:val="24"/>
        </w:rPr>
        <w:br w:type="page"/>
      </w:r>
      <w:r>
        <w:rPr>
          <w:rFonts w:hint="eastAsia"/>
          <w:b/>
          <w:sz w:val="24"/>
        </w:rPr>
        <w:t>附件4-3</w:t>
      </w:r>
    </w:p>
    <w:p>
      <w:pPr>
        <w:spacing w:line="560" w:lineRule="exact"/>
        <w:jc w:val="center"/>
        <w:rPr>
          <w:rFonts w:ascii="宋体"/>
          <w:b/>
          <w:sz w:val="24"/>
        </w:rPr>
      </w:pPr>
      <w:r>
        <w:rPr>
          <w:rFonts w:hint="eastAsia" w:ascii="宋体"/>
          <w:b/>
          <w:sz w:val="24"/>
        </w:rPr>
        <w:t>主要相关项目业绩一览表</w:t>
      </w: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560" w:lineRule="exact"/>
        <w:jc w:val="center"/>
        <w:rPr>
          <w:rFonts w:ascii="宋体"/>
          <w:b/>
          <w:sz w:val="24"/>
        </w:rPr>
      </w:pPr>
    </w:p>
    <w:tbl>
      <w:tblPr>
        <w:tblStyle w:val="19"/>
        <w:tblW w:w="0" w:type="auto"/>
        <w:tblInd w:w="-8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261"/>
        <w:gridCol w:w="1356"/>
        <w:gridCol w:w="1356"/>
        <w:gridCol w:w="1217"/>
        <w:gridCol w:w="1596"/>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序号</w:t>
            </w:r>
          </w:p>
        </w:tc>
        <w:tc>
          <w:tcPr>
            <w:tcW w:w="12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用户单位名称</w:t>
            </w:r>
          </w:p>
        </w:tc>
        <w:tc>
          <w:tcPr>
            <w:tcW w:w="13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项目内容</w:t>
            </w:r>
          </w:p>
        </w:tc>
        <w:tc>
          <w:tcPr>
            <w:tcW w:w="13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项目实施地点</w:t>
            </w:r>
          </w:p>
        </w:tc>
        <w:tc>
          <w:tcPr>
            <w:tcW w:w="12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联系人及联系方式</w:t>
            </w:r>
          </w:p>
        </w:tc>
        <w:tc>
          <w:tcPr>
            <w:tcW w:w="15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开始日期—</w:t>
            </w:r>
          </w:p>
          <w:p>
            <w:pPr>
              <w:spacing w:line="500" w:lineRule="exact"/>
              <w:jc w:val="center"/>
              <w:rPr>
                <w:rFonts w:ascii="宋体"/>
                <w:sz w:val="24"/>
              </w:rPr>
            </w:pPr>
            <w:r>
              <w:rPr>
                <w:rFonts w:hint="eastAsia" w:ascii="宋体"/>
                <w:sz w:val="24"/>
              </w:rPr>
              <w:t>完工日期</w:t>
            </w: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合同金额</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sz w:val="24"/>
              </w:rPr>
            </w:pPr>
            <w:r>
              <w:rPr>
                <w:rFonts w:hint="eastAsia" w:ascii="宋体"/>
                <w:sz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b/>
                <w:sz w:val="24"/>
              </w:rPr>
            </w:pPr>
          </w:p>
        </w:tc>
        <w:tc>
          <w:tcPr>
            <w:tcW w:w="12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35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2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5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90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c>
          <w:tcPr>
            <w:tcW w:w="144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b/>
                <w:sz w:val="24"/>
              </w:rPr>
            </w:pPr>
          </w:p>
        </w:tc>
      </w:tr>
    </w:tbl>
    <w:p>
      <w:pPr>
        <w:spacing w:line="560" w:lineRule="exact"/>
        <w:rPr>
          <w:rFonts w:ascii="宋体"/>
          <w:sz w:val="24"/>
        </w:rPr>
      </w:pPr>
      <w:r>
        <w:rPr>
          <w:rFonts w:hint="eastAsia" w:ascii="宋体"/>
          <w:sz w:val="24"/>
        </w:rPr>
        <w:t>备注：投标人所列业绩应按第二部分的要求将证明材料按顺序附后。</w:t>
      </w:r>
    </w:p>
    <w:p>
      <w:pPr>
        <w:spacing w:line="560" w:lineRule="exact"/>
        <w:rPr>
          <w:rFonts w:ascii="宋体"/>
          <w:sz w:val="24"/>
        </w:rPr>
      </w:pPr>
    </w:p>
    <w:p>
      <w:pPr>
        <w:spacing w:line="360" w:lineRule="auto"/>
        <w:rPr>
          <w:sz w:val="24"/>
        </w:rPr>
      </w:pPr>
      <w:r>
        <w:rPr>
          <w:sz w:val="24"/>
        </w:rPr>
        <w:t>投标人名称：</w:t>
      </w:r>
    </w:p>
    <w:p>
      <w:pPr>
        <w:spacing w:line="46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sz w:val="24"/>
        </w:rPr>
      </w:pPr>
      <w:r>
        <w:rPr>
          <w:sz w:val="24"/>
        </w:rPr>
        <w:br w:type="page"/>
      </w:r>
    </w:p>
    <w:p>
      <w:pPr>
        <w:spacing w:line="460" w:lineRule="exact"/>
        <w:rPr>
          <w:b/>
          <w:sz w:val="24"/>
        </w:rPr>
      </w:pPr>
      <w:r>
        <w:rPr>
          <w:b/>
          <w:sz w:val="24"/>
        </w:rPr>
        <w:t>附件5：评分因素中要求的各项方案、证明材料等</w:t>
      </w:r>
    </w:p>
    <w:p>
      <w:pPr>
        <w:spacing w:line="620" w:lineRule="exact"/>
        <w:rPr>
          <w:b/>
          <w:sz w:val="24"/>
        </w:rPr>
      </w:pPr>
      <w:r>
        <w:rPr>
          <w:b/>
          <w:sz w:val="24"/>
        </w:rPr>
        <w:br w:type="page"/>
      </w:r>
      <w:r>
        <w:rPr>
          <w:b/>
          <w:sz w:val="24"/>
        </w:rPr>
        <w:t>附件6</w:t>
      </w:r>
    </w:p>
    <w:p>
      <w:pPr>
        <w:autoSpaceDE w:val="0"/>
        <w:autoSpaceDN w:val="0"/>
        <w:spacing w:line="480" w:lineRule="auto"/>
        <w:jc w:val="center"/>
        <w:rPr>
          <w:sz w:val="24"/>
          <w:szCs w:val="24"/>
        </w:rPr>
      </w:pPr>
      <w:bookmarkStart w:id="6" w:name="OLE_LINK14"/>
      <w:bookmarkStart w:id="7" w:name="OLE_LINK13"/>
      <w:r>
        <w:rPr>
          <w:rFonts w:hint="eastAsia"/>
          <w:b/>
          <w:sz w:val="24"/>
          <w:szCs w:val="24"/>
        </w:rPr>
        <w:t>中小企业声明函（服务）</w:t>
      </w:r>
    </w:p>
    <w:p>
      <w:pPr>
        <w:widowControl/>
        <w:spacing w:line="500" w:lineRule="exact"/>
        <w:ind w:firstLine="480" w:firstLineChars="200"/>
        <w:jc w:val="left"/>
        <w:rPr>
          <w:sz w:val="24"/>
          <w:szCs w:val="24"/>
        </w:rPr>
      </w:pPr>
      <w:r>
        <w:rPr>
          <w:rFonts w:hint="eastAsia"/>
          <w:sz w:val="24"/>
          <w:szCs w:val="24"/>
        </w:rPr>
        <w:t>本公司（联合体）郑重声明，根据《政府采购促进中小企业发展管理办法》（财库﹝</w:t>
      </w:r>
      <w:r>
        <w:rPr>
          <w:sz w:val="24"/>
          <w:szCs w:val="24"/>
        </w:rPr>
        <w:t>2020</w:t>
      </w:r>
      <w:r>
        <w:rPr>
          <w:rFonts w:hint="eastAsia"/>
          <w:sz w:val="24"/>
          <w:szCs w:val="24"/>
        </w:rPr>
        <w:t>﹞</w:t>
      </w:r>
      <w:r>
        <w:rPr>
          <w:sz w:val="24"/>
          <w:szCs w:val="24"/>
        </w:rPr>
        <w:t>46</w:t>
      </w:r>
      <w:r>
        <w:rPr>
          <w:rFonts w:hint="eastAsia"/>
          <w:sz w:val="24"/>
          <w:szCs w:val="24"/>
        </w:rPr>
        <w:t>号）的规定，本公司（联合体）参加</w:t>
      </w:r>
      <w:r>
        <w:rPr>
          <w:rFonts w:hint="eastAsia"/>
          <w:b/>
          <w:sz w:val="24"/>
          <w:szCs w:val="24"/>
          <w:u w:val="single"/>
        </w:rPr>
        <w:t>（请填写项目名称）</w:t>
      </w:r>
      <w:r>
        <w:rPr>
          <w:rFonts w:hint="eastAsia"/>
          <w:sz w:val="24"/>
          <w:szCs w:val="24"/>
        </w:rPr>
        <w:t>采购活动，服务全部由符合政策要求的中小企业承接。相关企业（含联合体中的中小企业、签订分包意向协议的中小企业）的具体情况如下：</w:t>
      </w:r>
    </w:p>
    <w:p>
      <w:pPr>
        <w:autoSpaceDE w:val="0"/>
        <w:autoSpaceDN w:val="0"/>
        <w:spacing w:line="500" w:lineRule="exact"/>
        <w:ind w:firstLine="480" w:firstLineChars="200"/>
        <w:jc w:val="left"/>
        <w:rPr>
          <w:sz w:val="24"/>
          <w:szCs w:val="24"/>
        </w:rPr>
      </w:pPr>
      <w:r>
        <w:rPr>
          <w:sz w:val="24"/>
          <w:szCs w:val="24"/>
        </w:rPr>
        <w:t>1.</w:t>
      </w:r>
      <w:r>
        <w:rPr>
          <w:rFonts w:hint="eastAsia"/>
          <w:sz w:val="24"/>
          <w:szCs w:val="24"/>
          <w:u w:val="single"/>
        </w:rPr>
        <w:t>（</w:t>
      </w:r>
      <w:r>
        <w:rPr>
          <w:rFonts w:hint="eastAsia"/>
          <w:b/>
          <w:sz w:val="24"/>
          <w:szCs w:val="24"/>
        </w:rPr>
        <w:t>请填写标的名称</w:t>
      </w:r>
      <w:r>
        <w:rPr>
          <w:rFonts w:hint="eastAsia"/>
          <w:sz w:val="24"/>
          <w:szCs w:val="24"/>
        </w:rPr>
        <w:t>），属于</w:t>
      </w:r>
      <w:r>
        <w:rPr>
          <w:rFonts w:hint="eastAsia"/>
          <w:b/>
          <w:sz w:val="24"/>
          <w:szCs w:val="24"/>
        </w:rPr>
        <w:t>（请填写本项目采购文件中明确的所属行业）</w:t>
      </w:r>
      <w:r>
        <w:rPr>
          <w:rFonts w:hint="eastAsia"/>
          <w:sz w:val="24"/>
          <w:szCs w:val="24"/>
        </w:rPr>
        <w:t>行业；承接企业为</w:t>
      </w:r>
      <w:r>
        <w:rPr>
          <w:rFonts w:hint="eastAsia"/>
          <w:sz w:val="24"/>
          <w:szCs w:val="24"/>
          <w:u w:val="single"/>
        </w:rPr>
        <w:t>（</w:t>
      </w:r>
      <w:r>
        <w:rPr>
          <w:rFonts w:hint="eastAsia"/>
          <w:b/>
          <w:sz w:val="24"/>
          <w:szCs w:val="24"/>
        </w:rPr>
        <w:t>请填写承接该标的企业名称</w:t>
      </w:r>
      <w:r>
        <w:rPr>
          <w:rFonts w:hint="eastAsia"/>
          <w:sz w:val="24"/>
          <w:szCs w:val="24"/>
        </w:rPr>
        <w:t>），从业人员人，营业收入为万元，资产总额为万元，属于</w:t>
      </w:r>
      <w:r>
        <w:rPr>
          <w:rFonts w:hint="eastAsia"/>
          <w:sz w:val="24"/>
          <w:szCs w:val="24"/>
          <w:u w:val="single"/>
        </w:rPr>
        <w:t>（</w:t>
      </w:r>
      <w:r>
        <w:rPr>
          <w:rFonts w:hint="eastAsia"/>
          <w:b/>
          <w:sz w:val="24"/>
          <w:szCs w:val="24"/>
        </w:rPr>
        <w:t>请根据中小企业划分标准填写中型企业</w:t>
      </w:r>
      <w:r>
        <w:rPr>
          <w:b/>
          <w:sz w:val="24"/>
          <w:szCs w:val="24"/>
        </w:rPr>
        <w:t>/</w:t>
      </w:r>
      <w:r>
        <w:rPr>
          <w:rFonts w:hint="eastAsia"/>
          <w:b/>
          <w:sz w:val="24"/>
          <w:szCs w:val="24"/>
        </w:rPr>
        <w:t>小型企业</w:t>
      </w:r>
      <w:r>
        <w:rPr>
          <w:b/>
          <w:sz w:val="24"/>
          <w:szCs w:val="24"/>
        </w:rPr>
        <w:t>/</w:t>
      </w:r>
      <w:r>
        <w:rPr>
          <w:rFonts w:hint="eastAsia"/>
          <w:b/>
          <w:sz w:val="24"/>
          <w:szCs w:val="24"/>
        </w:rPr>
        <w:t>微型企业</w:t>
      </w:r>
      <w:r>
        <w:rPr>
          <w:rFonts w:hint="eastAsia"/>
          <w:sz w:val="24"/>
          <w:szCs w:val="24"/>
        </w:rPr>
        <w:t>）；</w:t>
      </w:r>
    </w:p>
    <w:p>
      <w:pPr>
        <w:autoSpaceDE w:val="0"/>
        <w:autoSpaceDN w:val="0"/>
        <w:spacing w:line="500" w:lineRule="exact"/>
        <w:ind w:firstLine="480" w:firstLineChars="200"/>
        <w:jc w:val="left"/>
        <w:rPr>
          <w:sz w:val="24"/>
          <w:szCs w:val="24"/>
        </w:rPr>
      </w:pPr>
      <w:r>
        <w:rPr>
          <w:sz w:val="24"/>
          <w:szCs w:val="24"/>
        </w:rPr>
        <w:t>2.</w:t>
      </w:r>
      <w:r>
        <w:rPr>
          <w:rFonts w:hint="eastAsia"/>
          <w:sz w:val="24"/>
          <w:szCs w:val="24"/>
          <w:u w:val="single"/>
        </w:rPr>
        <w:t>（</w:t>
      </w:r>
      <w:r>
        <w:rPr>
          <w:rFonts w:hint="eastAsia"/>
          <w:b/>
          <w:sz w:val="24"/>
          <w:szCs w:val="24"/>
        </w:rPr>
        <w:t>请填写标的名称</w:t>
      </w:r>
      <w:r>
        <w:rPr>
          <w:rFonts w:hint="eastAsia"/>
          <w:sz w:val="24"/>
          <w:szCs w:val="24"/>
        </w:rPr>
        <w:t>），属于</w:t>
      </w:r>
      <w:r>
        <w:rPr>
          <w:rFonts w:hint="eastAsia"/>
          <w:b/>
          <w:sz w:val="24"/>
          <w:szCs w:val="24"/>
        </w:rPr>
        <w:t>（请填写本项目采购文件中明确的所属行业）</w:t>
      </w:r>
      <w:r>
        <w:rPr>
          <w:rFonts w:hint="eastAsia"/>
          <w:sz w:val="24"/>
          <w:szCs w:val="24"/>
        </w:rPr>
        <w:t>行业；承接企业为</w:t>
      </w:r>
      <w:r>
        <w:rPr>
          <w:rFonts w:hint="eastAsia"/>
          <w:sz w:val="24"/>
          <w:szCs w:val="24"/>
          <w:u w:val="single"/>
        </w:rPr>
        <w:t>（</w:t>
      </w:r>
      <w:r>
        <w:rPr>
          <w:rFonts w:hint="eastAsia"/>
          <w:b/>
          <w:sz w:val="24"/>
          <w:szCs w:val="24"/>
        </w:rPr>
        <w:t>请填写承接该标的企业名称</w:t>
      </w:r>
      <w:r>
        <w:rPr>
          <w:rFonts w:hint="eastAsia"/>
          <w:sz w:val="24"/>
          <w:szCs w:val="24"/>
        </w:rPr>
        <w:t>），从业人员人，营业收入为万元，资产总额为万元，属于</w:t>
      </w:r>
      <w:r>
        <w:rPr>
          <w:rFonts w:hint="eastAsia"/>
          <w:sz w:val="24"/>
          <w:szCs w:val="24"/>
          <w:u w:val="single"/>
        </w:rPr>
        <w:t>（</w:t>
      </w:r>
      <w:r>
        <w:rPr>
          <w:rFonts w:hint="eastAsia"/>
          <w:b/>
          <w:sz w:val="24"/>
          <w:szCs w:val="24"/>
        </w:rPr>
        <w:t>请根据中小企业划分标准填写中型企业</w:t>
      </w:r>
      <w:r>
        <w:rPr>
          <w:b/>
          <w:sz w:val="24"/>
          <w:szCs w:val="24"/>
        </w:rPr>
        <w:t>/</w:t>
      </w:r>
      <w:r>
        <w:rPr>
          <w:rFonts w:hint="eastAsia"/>
          <w:b/>
          <w:sz w:val="24"/>
          <w:szCs w:val="24"/>
        </w:rPr>
        <w:t>小型企业</w:t>
      </w:r>
      <w:r>
        <w:rPr>
          <w:b/>
          <w:sz w:val="24"/>
          <w:szCs w:val="24"/>
        </w:rPr>
        <w:t>/</w:t>
      </w:r>
      <w:r>
        <w:rPr>
          <w:rFonts w:hint="eastAsia"/>
          <w:b/>
          <w:sz w:val="24"/>
          <w:szCs w:val="24"/>
        </w:rPr>
        <w:t>微型企业</w:t>
      </w:r>
      <w:r>
        <w:rPr>
          <w:rFonts w:hint="eastAsia"/>
          <w:sz w:val="24"/>
          <w:szCs w:val="24"/>
        </w:rPr>
        <w:t>）；</w:t>
      </w:r>
    </w:p>
    <w:p>
      <w:pPr>
        <w:autoSpaceDE w:val="0"/>
        <w:autoSpaceDN w:val="0"/>
        <w:spacing w:line="500" w:lineRule="exact"/>
        <w:ind w:left="641"/>
        <w:jc w:val="left"/>
        <w:rPr>
          <w:sz w:val="24"/>
          <w:szCs w:val="24"/>
        </w:rPr>
      </w:pPr>
      <w:r>
        <w:rPr>
          <w:sz w:val="24"/>
          <w:szCs w:val="24"/>
        </w:rPr>
        <w:t>……</w:t>
      </w:r>
    </w:p>
    <w:p>
      <w:pPr>
        <w:autoSpaceDE w:val="0"/>
        <w:autoSpaceDN w:val="0"/>
        <w:spacing w:line="500" w:lineRule="exact"/>
        <w:ind w:firstLine="480" w:firstLineChars="200"/>
        <w:jc w:val="left"/>
        <w:rPr>
          <w:sz w:val="24"/>
          <w:szCs w:val="24"/>
        </w:rPr>
      </w:pPr>
      <w:r>
        <w:rPr>
          <w:rFonts w:hint="eastAsia"/>
          <w:sz w:val="24"/>
          <w:szCs w:val="24"/>
        </w:rPr>
        <w:t>以上企业，不属于大型企业的分支机构，不存在控股股东为大型企业的情形，也不存在与大型企业的负责人为同一人的情形。</w:t>
      </w:r>
    </w:p>
    <w:p>
      <w:pPr>
        <w:autoSpaceDE w:val="0"/>
        <w:autoSpaceDN w:val="0"/>
        <w:spacing w:line="500" w:lineRule="exact"/>
        <w:ind w:firstLine="480" w:firstLineChars="200"/>
        <w:jc w:val="left"/>
        <w:rPr>
          <w:sz w:val="24"/>
          <w:szCs w:val="24"/>
        </w:rPr>
      </w:pPr>
      <w:r>
        <w:rPr>
          <w:rFonts w:hint="eastAsia"/>
          <w:sz w:val="24"/>
          <w:szCs w:val="24"/>
        </w:rPr>
        <w:t>本企业对上述声明内容的真实性负责。如有虚假，将依法承担相应责任。</w:t>
      </w:r>
    </w:p>
    <w:p>
      <w:pPr>
        <w:autoSpaceDE w:val="0"/>
        <w:autoSpaceDN w:val="0"/>
        <w:spacing w:line="500" w:lineRule="exact"/>
        <w:ind w:left="3840"/>
        <w:jc w:val="left"/>
        <w:rPr>
          <w:sz w:val="24"/>
          <w:szCs w:val="24"/>
        </w:rPr>
      </w:pPr>
      <w:r>
        <w:rPr>
          <w:rFonts w:hint="eastAsia"/>
          <w:sz w:val="24"/>
          <w:szCs w:val="24"/>
        </w:rPr>
        <w:t>投标人名称：</w:t>
      </w:r>
    </w:p>
    <w:p>
      <w:pPr>
        <w:autoSpaceDE w:val="0"/>
        <w:autoSpaceDN w:val="0"/>
        <w:spacing w:line="500" w:lineRule="exact"/>
        <w:ind w:left="3840"/>
        <w:jc w:val="left"/>
        <w:rPr>
          <w:sz w:val="32"/>
        </w:rPr>
      </w:pPr>
      <w:r>
        <w:rPr>
          <w:rFonts w:hint="eastAsia"/>
          <w:sz w:val="24"/>
          <w:szCs w:val="24"/>
        </w:rPr>
        <w:t>日期：</w:t>
      </w:r>
    </w:p>
    <w:p>
      <w:pPr>
        <w:spacing w:line="360" w:lineRule="auto"/>
        <w:ind w:right="84" w:firstLine="241" w:firstLineChars="100"/>
        <w:rPr>
          <w:b/>
          <w:sz w:val="24"/>
          <w:szCs w:val="24"/>
        </w:rPr>
      </w:pPr>
      <w:r>
        <w:rPr>
          <w:rFonts w:hint="eastAsia"/>
          <w:b/>
          <w:sz w:val="24"/>
          <w:szCs w:val="24"/>
        </w:rPr>
        <w:t>注：</w:t>
      </w:r>
    </w:p>
    <w:p>
      <w:pPr>
        <w:spacing w:line="360" w:lineRule="auto"/>
        <w:ind w:right="84" w:firstLine="241" w:firstLineChars="100"/>
        <w:rPr>
          <w:b/>
          <w:sz w:val="24"/>
          <w:szCs w:val="24"/>
        </w:rPr>
      </w:pPr>
      <w:r>
        <w:rPr>
          <w:b/>
          <w:sz w:val="24"/>
          <w:szCs w:val="24"/>
        </w:rPr>
        <w:t>1.</w:t>
      </w:r>
      <w:r>
        <w:rPr>
          <w:rFonts w:hint="eastAsia"/>
          <w:b/>
          <w:sz w:val="24"/>
          <w:szCs w:val="24"/>
        </w:rPr>
        <w:t>标的名称须按照采购文件中明确的标的名称进行填写；所属行业须按照采购文件中明确的所属行业进行填写，否则不享受中小企业扶持政策。</w:t>
      </w:r>
    </w:p>
    <w:p>
      <w:pPr>
        <w:spacing w:line="360" w:lineRule="auto"/>
        <w:ind w:right="84" w:firstLine="241" w:firstLineChars="100"/>
        <w:rPr>
          <w:b/>
          <w:sz w:val="24"/>
          <w:szCs w:val="24"/>
        </w:rPr>
      </w:pPr>
      <w:r>
        <w:rPr>
          <w:b/>
          <w:sz w:val="24"/>
          <w:szCs w:val="24"/>
        </w:rPr>
        <w:t>2.</w:t>
      </w:r>
      <w:r>
        <w:rPr>
          <w:rFonts w:hint="eastAsia"/>
          <w:b/>
          <w:sz w:val="24"/>
          <w:szCs w:val="24"/>
        </w:rPr>
        <w:t>从业人员、营业收入、资产总额填报上一年度数据，无上一年度数据的新成立企业可不填报。除新成立企业外，上表填写不全的，不享受中小企业扶持政策。</w:t>
      </w:r>
    </w:p>
    <w:p>
      <w:pPr>
        <w:spacing w:line="360" w:lineRule="auto"/>
        <w:ind w:right="84" w:firstLine="241" w:firstLineChars="100"/>
        <w:rPr>
          <w:b/>
          <w:sz w:val="24"/>
          <w:szCs w:val="24"/>
        </w:rPr>
      </w:pPr>
      <w:r>
        <w:rPr>
          <w:b/>
          <w:sz w:val="24"/>
          <w:szCs w:val="24"/>
        </w:rPr>
        <w:t>3.</w:t>
      </w:r>
      <w:r>
        <w:rPr>
          <w:rFonts w:hint="eastAsia"/>
          <w:b/>
          <w:sz w:val="24"/>
          <w:szCs w:val="24"/>
        </w:rPr>
        <w:t>中标（成交）供应商享受中小企业扶持政策的，将随中标（成交）结果同时公告其《中小企业声明函》，接受社会监督。</w:t>
      </w:r>
    </w:p>
    <w:p>
      <w:pPr>
        <w:autoSpaceDN w:val="0"/>
        <w:spacing w:line="360" w:lineRule="auto"/>
        <w:rPr>
          <w:rFonts w:hint="eastAsia"/>
          <w:b/>
          <w:bCs/>
          <w:sz w:val="24"/>
        </w:rPr>
      </w:pPr>
    </w:p>
    <w:p>
      <w:pPr>
        <w:autoSpaceDN w:val="0"/>
        <w:spacing w:line="360" w:lineRule="auto"/>
        <w:rPr>
          <w:b/>
          <w:bCs/>
          <w:sz w:val="24"/>
        </w:rPr>
      </w:pPr>
      <w:r>
        <w:rPr>
          <w:rFonts w:hint="eastAsia"/>
          <w:b/>
          <w:bCs/>
          <w:sz w:val="24"/>
        </w:rPr>
        <w:t>附件7</w:t>
      </w:r>
    </w:p>
    <w:p>
      <w:pPr>
        <w:autoSpaceDN w:val="0"/>
        <w:spacing w:line="360" w:lineRule="auto"/>
        <w:rPr>
          <w:b/>
          <w:kern w:val="0"/>
          <w:sz w:val="24"/>
          <w:szCs w:val="21"/>
        </w:rPr>
      </w:pPr>
      <w:r>
        <w:rPr>
          <w:rFonts w:hint="eastAsia"/>
          <w:b/>
          <w:kern w:val="0"/>
          <w:sz w:val="24"/>
          <w:szCs w:val="21"/>
        </w:rPr>
        <w:t>若投标人不是残疾人福利性单位，响应文件中可不提供此声明函</w:t>
      </w:r>
    </w:p>
    <w:p>
      <w:pPr>
        <w:autoSpaceDN w:val="0"/>
        <w:spacing w:line="360" w:lineRule="auto"/>
        <w:rPr>
          <w:b/>
          <w:bCs/>
          <w:sz w:val="24"/>
        </w:rPr>
      </w:pPr>
    </w:p>
    <w:p>
      <w:pPr>
        <w:autoSpaceDN w:val="0"/>
        <w:spacing w:line="360" w:lineRule="auto"/>
        <w:jc w:val="center"/>
        <w:rPr>
          <w:b/>
          <w:bCs/>
          <w:sz w:val="24"/>
        </w:rPr>
      </w:pPr>
      <w:r>
        <w:rPr>
          <w:rFonts w:hint="eastAsia"/>
          <w:b/>
          <w:bCs/>
          <w:sz w:val="24"/>
        </w:rPr>
        <w:t>残疾人福利性单位声明函</w:t>
      </w:r>
    </w:p>
    <w:bookmarkEnd w:id="6"/>
    <w:bookmarkEnd w:id="7"/>
    <w:p>
      <w:pPr>
        <w:spacing w:line="588" w:lineRule="exact"/>
        <w:rPr>
          <w:rFonts w:ascii="仿宋_GB2312" w:eastAsia="仿宋_GB2312"/>
          <w:b/>
          <w:spacing w:val="6"/>
          <w:sz w:val="30"/>
          <w:szCs w:val="30"/>
        </w:rPr>
      </w:pPr>
    </w:p>
    <w:p>
      <w:pPr>
        <w:snapToGrid w:val="0"/>
        <w:spacing w:line="360" w:lineRule="auto"/>
        <w:ind w:firstLine="480" w:firstLineChars="200"/>
        <w:rPr>
          <w:sz w:val="24"/>
          <w:szCs w:val="21"/>
        </w:rPr>
      </w:pPr>
      <w:r>
        <w:rPr>
          <w:rFonts w:hint="eastAsia"/>
          <w:sz w:val="24"/>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sz w:val="24"/>
          <w:szCs w:val="21"/>
        </w:rPr>
      </w:pPr>
      <w:r>
        <w:rPr>
          <w:rFonts w:hint="eastAsia"/>
          <w:sz w:val="24"/>
          <w:szCs w:val="21"/>
        </w:rPr>
        <w:t>本单位对上述声明的真实性负责。如有虚假，将依法承担相应责任。</w:t>
      </w:r>
    </w:p>
    <w:p>
      <w:pPr>
        <w:snapToGrid w:val="0"/>
        <w:spacing w:line="360" w:lineRule="auto"/>
        <w:ind w:firstLine="480" w:firstLineChars="200"/>
        <w:rPr>
          <w:sz w:val="24"/>
          <w:szCs w:val="21"/>
        </w:rPr>
      </w:pPr>
    </w:p>
    <w:p>
      <w:pPr>
        <w:snapToGrid w:val="0"/>
        <w:spacing w:line="360" w:lineRule="auto"/>
        <w:ind w:firstLine="480" w:firstLineChars="200"/>
        <w:rPr>
          <w:sz w:val="24"/>
          <w:szCs w:val="21"/>
        </w:rPr>
      </w:pPr>
    </w:p>
    <w:p>
      <w:pPr>
        <w:snapToGrid w:val="0"/>
        <w:spacing w:line="360" w:lineRule="auto"/>
        <w:ind w:firstLine="480" w:firstLineChars="200"/>
        <w:rPr>
          <w:sz w:val="24"/>
          <w:szCs w:val="21"/>
        </w:rPr>
      </w:pPr>
    </w:p>
    <w:p>
      <w:pPr>
        <w:snapToGrid w:val="0"/>
        <w:spacing w:line="360" w:lineRule="auto"/>
        <w:ind w:firstLine="480" w:firstLineChars="200"/>
        <w:rPr>
          <w:sz w:val="24"/>
          <w:szCs w:val="21"/>
        </w:rPr>
      </w:pPr>
    </w:p>
    <w:p>
      <w:pPr>
        <w:snapToGrid w:val="0"/>
        <w:spacing w:line="360" w:lineRule="auto"/>
        <w:ind w:firstLine="480" w:firstLineChars="200"/>
        <w:jc w:val="left"/>
        <w:rPr>
          <w:sz w:val="24"/>
          <w:szCs w:val="21"/>
        </w:rPr>
      </w:pPr>
      <w:r>
        <w:rPr>
          <w:rFonts w:hint="eastAsia"/>
          <w:sz w:val="24"/>
          <w:szCs w:val="21"/>
        </w:rPr>
        <w:t>投标人名称：</w:t>
      </w:r>
      <w:bookmarkStart w:id="8" w:name="_GoBack"/>
      <w:bookmarkEnd w:id="8"/>
    </w:p>
    <w:p>
      <w:pPr>
        <w:snapToGrid w:val="0"/>
        <w:spacing w:line="360" w:lineRule="auto"/>
        <w:ind w:firstLine="480" w:firstLineChars="200"/>
        <w:jc w:val="left"/>
        <w:rPr>
          <w:sz w:val="24"/>
          <w:szCs w:val="21"/>
        </w:rPr>
      </w:pPr>
    </w:p>
    <w:p>
      <w:pPr>
        <w:snapToGrid w:val="0"/>
        <w:spacing w:line="360" w:lineRule="auto"/>
        <w:ind w:firstLine="480" w:firstLineChars="200"/>
        <w:jc w:val="left"/>
        <w:rPr>
          <w:sz w:val="24"/>
          <w:szCs w:val="21"/>
        </w:rPr>
      </w:pPr>
      <w:r>
        <w:rPr>
          <w:rFonts w:hint="eastAsia"/>
          <w:sz w:val="24"/>
          <w:szCs w:val="21"/>
        </w:rPr>
        <w:t>日期：年月日</w:t>
      </w:r>
    </w:p>
    <w:p>
      <w:pPr>
        <w:snapToGrid w:val="0"/>
        <w:spacing w:line="360" w:lineRule="auto"/>
        <w:ind w:firstLine="480" w:firstLineChars="200"/>
        <w:jc w:val="left"/>
        <w:rPr>
          <w:sz w:val="24"/>
          <w:szCs w:val="21"/>
        </w:rPr>
      </w:pPr>
    </w:p>
    <w:p>
      <w:pPr>
        <w:snapToGrid w:val="0"/>
        <w:spacing w:line="360" w:lineRule="auto"/>
        <w:ind w:firstLine="480" w:firstLineChars="200"/>
        <w:rPr>
          <w:sz w:val="24"/>
          <w:szCs w:val="21"/>
        </w:rPr>
      </w:pPr>
      <w:r>
        <w:rPr>
          <w:rFonts w:hint="eastAsia"/>
          <w:sz w:val="24"/>
          <w:szCs w:val="21"/>
        </w:rPr>
        <w:t>注：</w:t>
      </w:r>
    </w:p>
    <w:p>
      <w:pPr>
        <w:snapToGrid w:val="0"/>
        <w:spacing w:line="360" w:lineRule="auto"/>
        <w:ind w:firstLine="482" w:firstLineChars="200"/>
        <w:rPr>
          <w:b/>
          <w:sz w:val="24"/>
          <w:szCs w:val="21"/>
        </w:rPr>
      </w:pPr>
      <w:r>
        <w:rPr>
          <w:b/>
          <w:sz w:val="24"/>
          <w:szCs w:val="21"/>
        </w:rPr>
        <w:t>中标（成交）供应商为残疾人福利性单位的，将随中标（成交）结果同时公告其《残疾人福利性单位声明函》，接受社会监督。</w:t>
      </w:r>
    </w:p>
    <w:p>
      <w:pPr>
        <w:snapToGrid w:val="0"/>
        <w:spacing w:line="360" w:lineRule="auto"/>
        <w:ind w:firstLine="482" w:firstLineChars="200"/>
        <w:rPr>
          <w:b/>
          <w:sz w:val="24"/>
          <w:szCs w:val="21"/>
        </w:rPr>
      </w:pPr>
      <w:r>
        <w:rPr>
          <w:b/>
          <w:kern w:val="0"/>
          <w:sz w:val="24"/>
          <w:szCs w:val="21"/>
        </w:rPr>
        <w:t>若不是残疾人福利性单位，投标文件中可不提供此声明函。</w:t>
      </w:r>
    </w:p>
    <w:p>
      <w:pPr>
        <w:snapToGrid w:val="0"/>
        <w:spacing w:line="360" w:lineRule="auto"/>
        <w:ind w:firstLine="480" w:firstLineChars="200"/>
        <w:rPr>
          <w:sz w:val="24"/>
          <w:szCs w:val="21"/>
        </w:rPr>
      </w:pPr>
    </w:p>
    <w:p>
      <w:pPr>
        <w:tabs>
          <w:tab w:val="left" w:pos="360"/>
        </w:tabs>
        <w:spacing w:line="360" w:lineRule="auto"/>
        <w:ind w:firstLine="420" w:firstLineChars="200"/>
        <w:rPr>
          <w:b/>
          <w:bCs/>
          <w:sz w:val="24"/>
        </w:rPr>
      </w:pPr>
      <w:r>
        <w:rPr>
          <w:szCs w:val="21"/>
        </w:rPr>
        <w:br w:type="page"/>
      </w:r>
      <w:r>
        <w:rPr>
          <w:b/>
          <w:sz w:val="24"/>
        </w:rPr>
        <w:t>附件</w:t>
      </w:r>
      <w:r>
        <w:rPr>
          <w:rFonts w:hint="eastAsia"/>
          <w:b/>
          <w:sz w:val="24"/>
        </w:rPr>
        <w:t>8</w:t>
      </w:r>
      <w:r>
        <w:rPr>
          <w:b/>
          <w:sz w:val="24"/>
        </w:rPr>
        <w:t>：</w:t>
      </w:r>
    </w:p>
    <w:p>
      <w:pPr>
        <w:tabs>
          <w:tab w:val="left" w:pos="360"/>
        </w:tabs>
        <w:spacing w:line="360" w:lineRule="auto"/>
        <w:jc w:val="center"/>
        <w:rPr>
          <w:b/>
          <w:bCs/>
          <w:sz w:val="24"/>
        </w:rPr>
      </w:pPr>
      <w:r>
        <w:rPr>
          <w:rFonts w:hint="eastAsia"/>
          <w:b/>
          <w:bCs/>
          <w:sz w:val="24"/>
        </w:rPr>
        <w:t>书面</w:t>
      </w:r>
      <w:r>
        <w:rPr>
          <w:b/>
          <w:bCs/>
          <w:sz w:val="24"/>
        </w:rPr>
        <w:t>声明</w:t>
      </w:r>
    </w:p>
    <w:p>
      <w:pPr>
        <w:pStyle w:val="36"/>
        <w:tabs>
          <w:tab w:val="left" w:pos="360"/>
        </w:tabs>
        <w:spacing w:line="360" w:lineRule="auto"/>
        <w:ind w:firstLine="480"/>
        <w:rPr>
          <w:sz w:val="24"/>
        </w:rPr>
      </w:pPr>
    </w:p>
    <w:p>
      <w:pPr>
        <w:pStyle w:val="36"/>
        <w:tabs>
          <w:tab w:val="left" w:pos="360"/>
        </w:tabs>
        <w:spacing w:line="360" w:lineRule="auto"/>
        <w:ind w:firstLine="480"/>
        <w:rPr>
          <w:sz w:val="24"/>
        </w:rPr>
      </w:pPr>
      <w:r>
        <w:rPr>
          <w:rFonts w:hint="eastAsia"/>
          <w:sz w:val="24"/>
        </w:rPr>
        <w:t>参加政府采购活动前</w:t>
      </w:r>
      <w:r>
        <w:rPr>
          <w:sz w:val="24"/>
        </w:rPr>
        <w:t>3</w:t>
      </w:r>
      <w:r>
        <w:rPr>
          <w:rFonts w:hint="eastAsia"/>
          <w:sz w:val="24"/>
        </w:rPr>
        <w:t>年我单位在经营活动中没有重大违法记录。</w:t>
      </w:r>
    </w:p>
    <w:p>
      <w:pPr>
        <w:pStyle w:val="36"/>
        <w:tabs>
          <w:tab w:val="left" w:pos="360"/>
        </w:tabs>
        <w:spacing w:line="360" w:lineRule="auto"/>
        <w:ind w:firstLine="480"/>
        <w:rPr>
          <w:sz w:val="24"/>
        </w:rPr>
      </w:pPr>
      <w:r>
        <w:rPr>
          <w:rFonts w:hint="eastAsia"/>
          <w:sz w:val="24"/>
        </w:rPr>
        <w:t>我单位具备良好的商业信誉和健全的财务会计制度，依法缴纳税收和社会保障资金。</w:t>
      </w:r>
    </w:p>
    <w:p>
      <w:pPr>
        <w:pStyle w:val="36"/>
        <w:tabs>
          <w:tab w:val="left" w:pos="360"/>
        </w:tabs>
        <w:spacing w:line="360" w:lineRule="auto"/>
        <w:ind w:firstLine="480"/>
        <w:rPr>
          <w:sz w:val="24"/>
        </w:rPr>
      </w:pPr>
    </w:p>
    <w:p>
      <w:pPr>
        <w:pStyle w:val="36"/>
        <w:tabs>
          <w:tab w:val="left" w:pos="360"/>
        </w:tabs>
        <w:spacing w:line="360" w:lineRule="auto"/>
        <w:ind w:firstLine="480"/>
        <w:rPr>
          <w:sz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日期：</w:t>
      </w:r>
    </w:p>
    <w:p>
      <w:pPr>
        <w:autoSpaceDE w:val="0"/>
        <w:autoSpaceDN w:val="0"/>
        <w:spacing w:line="500" w:lineRule="exact"/>
        <w:ind w:left="3840"/>
        <w:jc w:val="left"/>
        <w:rPr>
          <w:sz w:val="24"/>
          <w:szCs w:val="24"/>
        </w:rPr>
      </w:pPr>
    </w:p>
    <w:p>
      <w:pPr>
        <w:pStyle w:val="36"/>
        <w:tabs>
          <w:tab w:val="left" w:pos="360"/>
        </w:tabs>
        <w:spacing w:line="360" w:lineRule="auto"/>
        <w:ind w:firstLine="0" w:firstLineChars="0"/>
        <w:rPr>
          <w:sz w:val="24"/>
          <w:u w:val="single"/>
        </w:rPr>
      </w:pPr>
    </w:p>
    <w:p>
      <w:pPr>
        <w:pStyle w:val="36"/>
        <w:tabs>
          <w:tab w:val="left" w:pos="360"/>
        </w:tabs>
        <w:spacing w:line="360" w:lineRule="auto"/>
        <w:ind w:firstLine="480"/>
        <w:rPr>
          <w:sz w:val="24"/>
        </w:rPr>
      </w:pPr>
    </w:p>
    <w:p>
      <w:pPr>
        <w:pStyle w:val="36"/>
        <w:spacing w:line="360" w:lineRule="auto"/>
        <w:ind w:firstLine="0" w:firstLineChars="0"/>
        <w:jc w:val="center"/>
        <w:rPr>
          <w:b/>
          <w:sz w:val="24"/>
        </w:rPr>
      </w:pPr>
    </w:p>
    <w:p>
      <w:pPr>
        <w:pStyle w:val="36"/>
        <w:spacing w:line="360" w:lineRule="auto"/>
        <w:ind w:firstLine="0" w:firstLineChars="0"/>
        <w:jc w:val="center"/>
        <w:rPr>
          <w:b/>
          <w:sz w:val="24"/>
        </w:rPr>
      </w:pPr>
    </w:p>
    <w:p>
      <w:pPr>
        <w:pStyle w:val="36"/>
        <w:spacing w:line="360" w:lineRule="auto"/>
        <w:ind w:firstLine="0" w:firstLineChars="0"/>
        <w:jc w:val="center"/>
        <w:rPr>
          <w:b/>
          <w:sz w:val="24"/>
        </w:rPr>
      </w:pPr>
      <w:r>
        <w:rPr>
          <w:rFonts w:hint="eastAsia"/>
          <w:b/>
          <w:sz w:val="24"/>
        </w:rPr>
        <w:t>证明材料</w:t>
      </w:r>
    </w:p>
    <w:p>
      <w:pPr>
        <w:pStyle w:val="36"/>
        <w:tabs>
          <w:tab w:val="left" w:pos="360"/>
        </w:tabs>
        <w:spacing w:line="360" w:lineRule="auto"/>
        <w:ind w:firstLine="480"/>
        <w:rPr>
          <w:sz w:val="24"/>
        </w:rPr>
      </w:pPr>
    </w:p>
    <w:p>
      <w:pPr>
        <w:pStyle w:val="36"/>
        <w:tabs>
          <w:tab w:val="left" w:pos="360"/>
        </w:tabs>
        <w:spacing w:line="360" w:lineRule="auto"/>
        <w:ind w:firstLine="480"/>
        <w:rPr>
          <w:sz w:val="24"/>
        </w:rPr>
      </w:pPr>
      <w:r>
        <w:rPr>
          <w:sz w:val="24"/>
        </w:rPr>
        <w:t>我单位具备</w:t>
      </w:r>
      <w:r>
        <w:rPr>
          <w:rFonts w:hint="eastAsia"/>
          <w:sz w:val="24"/>
        </w:rPr>
        <w:t>履行本项目合同所必需的设备和专业技术能力。</w:t>
      </w:r>
    </w:p>
    <w:p>
      <w:pPr>
        <w:pStyle w:val="36"/>
        <w:tabs>
          <w:tab w:val="left" w:pos="360"/>
        </w:tabs>
        <w:spacing w:line="360" w:lineRule="auto"/>
        <w:ind w:firstLine="480"/>
        <w:rPr>
          <w:sz w:val="24"/>
        </w:rPr>
      </w:pPr>
    </w:p>
    <w:p>
      <w:pPr>
        <w:pStyle w:val="36"/>
        <w:tabs>
          <w:tab w:val="left" w:pos="360"/>
        </w:tabs>
        <w:spacing w:line="360" w:lineRule="auto"/>
        <w:ind w:firstLine="480"/>
        <w:rPr>
          <w:sz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日期：</w:t>
      </w:r>
    </w:p>
    <w:p>
      <w:pPr>
        <w:tabs>
          <w:tab w:val="left" w:pos="360"/>
        </w:tabs>
        <w:spacing w:line="360" w:lineRule="auto"/>
        <w:ind w:firstLine="482" w:firstLineChars="200"/>
        <w:rPr>
          <w:b/>
          <w:sz w:val="24"/>
        </w:rPr>
      </w:pPr>
    </w:p>
    <w:p>
      <w:pPr>
        <w:tabs>
          <w:tab w:val="left" w:pos="360"/>
        </w:tabs>
        <w:spacing w:line="360" w:lineRule="auto"/>
        <w:ind w:firstLine="480" w:firstLineChars="200"/>
        <w:rPr>
          <w:sz w:val="24"/>
        </w:rPr>
      </w:pPr>
    </w:p>
    <w:p>
      <w:pPr>
        <w:spacing w:line="620" w:lineRule="exact"/>
        <w:rPr>
          <w:szCs w:val="21"/>
        </w:rPr>
      </w:pPr>
      <w:r>
        <w:rPr>
          <w:b/>
          <w:sz w:val="24"/>
          <w:szCs w:val="24"/>
        </w:rPr>
        <w:br w:type="page"/>
      </w:r>
      <w:r>
        <w:rPr>
          <w:rFonts w:hint="eastAsia"/>
          <w:b/>
          <w:sz w:val="24"/>
          <w:szCs w:val="24"/>
        </w:rPr>
        <w:t>附件9：</w:t>
      </w:r>
      <w:r>
        <w:rPr>
          <w:b/>
          <w:sz w:val="24"/>
          <w:szCs w:val="24"/>
        </w:rPr>
        <w:t>投标人认为需要提交的其他资料</w:t>
      </w:r>
      <w:r>
        <w:rPr>
          <w:szCs w:val="21"/>
        </w:rPr>
        <w:t xml:space="preserve"> </w:t>
      </w:r>
    </w:p>
    <w:p>
      <w:pPr>
        <w:widowControl/>
        <w:jc w:val="left"/>
        <w:rPr>
          <w:sz w:val="24"/>
        </w:rPr>
      </w:pPr>
      <w:r>
        <w:rPr>
          <w:b/>
          <w:sz w:val="24"/>
        </w:rPr>
        <w:br w:type="page"/>
      </w:r>
    </w:p>
    <w:p>
      <w:pPr>
        <w:autoSpaceDE w:val="0"/>
        <w:autoSpaceDN w:val="0"/>
        <w:adjustRightInd w:val="0"/>
        <w:jc w:val="center"/>
        <w:rPr>
          <w:sz w:val="24"/>
        </w:rPr>
      </w:pPr>
    </w:p>
    <w:p>
      <w:pPr>
        <w:autoSpaceDE w:val="0"/>
        <w:autoSpaceDN w:val="0"/>
        <w:adjustRightInd w:val="0"/>
        <w:jc w:val="center"/>
        <w:rPr>
          <w:rFonts w:eastAsia="华文行楷"/>
          <w:kern w:val="0"/>
          <w:sz w:val="144"/>
          <w:szCs w:val="144"/>
        </w:rPr>
      </w:pPr>
      <w:r>
        <w:rPr>
          <w:rFonts w:eastAsia="方正行楷简体"/>
          <w:sz w:val="160"/>
          <w:szCs w:val="84"/>
        </w:rPr>
        <w:t>响应文件</w:t>
      </w:r>
    </w:p>
    <w:p>
      <w:pPr>
        <w:autoSpaceDE w:val="0"/>
        <w:autoSpaceDN w:val="0"/>
        <w:adjustRightInd w:val="0"/>
        <w:spacing w:line="520" w:lineRule="exact"/>
        <w:rPr>
          <w:b/>
          <w:kern w:val="0"/>
          <w:sz w:val="24"/>
        </w:rPr>
      </w:pPr>
    </w:p>
    <w:p>
      <w:pPr>
        <w:autoSpaceDE w:val="0"/>
        <w:autoSpaceDN w:val="0"/>
        <w:adjustRightInd w:val="0"/>
        <w:spacing w:line="520" w:lineRule="exact"/>
        <w:jc w:val="center"/>
        <w:rPr>
          <w:rFonts w:eastAsia="楷体_GB2312"/>
          <w:b/>
          <w:color w:val="FF0000"/>
          <w:kern w:val="0"/>
          <w:sz w:val="36"/>
          <w:szCs w:val="36"/>
        </w:rPr>
      </w:pPr>
      <w:r>
        <w:rPr>
          <w:rFonts w:eastAsia="楷体_GB2312"/>
          <w:b/>
          <w:color w:val="FF0000"/>
          <w:kern w:val="0"/>
          <w:sz w:val="36"/>
          <w:szCs w:val="36"/>
        </w:rPr>
        <w:t>（</w:t>
      </w:r>
      <w:r>
        <w:rPr>
          <w:rFonts w:hint="eastAsia" w:eastAsia="楷体_GB2312"/>
          <w:b/>
          <w:color w:val="FF0000"/>
          <w:kern w:val="0"/>
          <w:sz w:val="36"/>
          <w:szCs w:val="36"/>
        </w:rPr>
        <w:t>加盖电子签章</w:t>
      </w:r>
      <w:r>
        <w:rPr>
          <w:rFonts w:eastAsia="楷体_GB2312"/>
          <w:b/>
          <w:color w:val="FF0000"/>
          <w:kern w:val="0"/>
          <w:sz w:val="36"/>
          <w:szCs w:val="36"/>
        </w:rPr>
        <w:t>）</w:t>
      </w:r>
    </w:p>
    <w:p>
      <w:pPr>
        <w:autoSpaceDE w:val="0"/>
        <w:autoSpaceDN w:val="0"/>
        <w:adjustRightInd w:val="0"/>
        <w:spacing w:line="520" w:lineRule="exact"/>
        <w:rPr>
          <w:b/>
          <w:kern w:val="0"/>
          <w:sz w:val="24"/>
        </w:rPr>
      </w:pPr>
    </w:p>
    <w:p>
      <w:pPr>
        <w:autoSpaceDE w:val="0"/>
        <w:autoSpaceDN w:val="0"/>
        <w:adjustRightInd w:val="0"/>
        <w:spacing w:line="520" w:lineRule="exact"/>
        <w:jc w:val="center"/>
        <w:rPr>
          <w:b/>
          <w:kern w:val="0"/>
          <w:sz w:val="24"/>
        </w:rPr>
      </w:pPr>
      <w:r>
        <w:rPr>
          <w:b/>
          <w:kern w:val="0"/>
          <w:sz w:val="24"/>
        </w:rPr>
        <w:t>第</w:t>
      </w:r>
      <w:r>
        <w:rPr>
          <w:rFonts w:hint="eastAsia"/>
          <w:b/>
          <w:kern w:val="0"/>
          <w:sz w:val="24"/>
        </w:rPr>
        <w:t>二</w:t>
      </w:r>
      <w:r>
        <w:rPr>
          <w:b/>
          <w:kern w:val="0"/>
          <w:sz w:val="24"/>
        </w:rPr>
        <w:t>阶段</w:t>
      </w:r>
      <w:r>
        <w:rPr>
          <w:rFonts w:hint="eastAsia"/>
          <w:b/>
          <w:kern w:val="0"/>
          <w:sz w:val="24"/>
        </w:rPr>
        <w:t>响应</w:t>
      </w:r>
      <w:r>
        <w:rPr>
          <w:b/>
          <w:kern w:val="0"/>
          <w:sz w:val="24"/>
        </w:rPr>
        <w:t>文件</w:t>
      </w:r>
    </w:p>
    <w:p>
      <w:pPr>
        <w:autoSpaceDE w:val="0"/>
        <w:autoSpaceDN w:val="0"/>
        <w:adjustRightInd w:val="0"/>
        <w:spacing w:line="520" w:lineRule="exact"/>
        <w:rPr>
          <w:b/>
          <w:kern w:val="0"/>
          <w:sz w:val="24"/>
        </w:rPr>
      </w:pPr>
    </w:p>
    <w:p>
      <w:pPr>
        <w:spacing w:beforeLines="30" w:afterLines="70" w:line="540" w:lineRule="exact"/>
        <w:ind w:left="630" w:leftChars="300"/>
        <w:rPr>
          <w:rFonts w:eastAsia="方正楷体简体"/>
          <w:b/>
          <w:sz w:val="34"/>
          <w:szCs w:val="34"/>
        </w:rPr>
      </w:pPr>
      <w:r>
        <w:rPr>
          <w:rFonts w:eastAsia="方正楷体简体"/>
          <w:b/>
          <w:sz w:val="34"/>
          <w:szCs w:val="34"/>
        </w:rPr>
        <w:t>项目编号：</w:t>
      </w:r>
    </w:p>
    <w:p>
      <w:pPr>
        <w:spacing w:beforeLines="30" w:afterLines="70" w:line="540" w:lineRule="exact"/>
        <w:ind w:left="630" w:leftChars="300"/>
        <w:rPr>
          <w:rFonts w:eastAsia="方正楷体简体"/>
          <w:b/>
          <w:sz w:val="34"/>
          <w:szCs w:val="34"/>
        </w:rPr>
      </w:pPr>
      <w:r>
        <w:rPr>
          <w:rFonts w:eastAsia="方正楷体简体"/>
          <w:b/>
          <w:sz w:val="34"/>
          <w:szCs w:val="34"/>
        </w:rPr>
        <w:t>项目名称：</w:t>
      </w:r>
    </w:p>
    <w:p>
      <w:pPr>
        <w:spacing w:beforeLines="30" w:afterLines="70" w:line="540" w:lineRule="exact"/>
        <w:ind w:left="630" w:leftChars="300"/>
        <w:rPr>
          <w:rFonts w:eastAsia="方正楷体简体"/>
          <w:b/>
          <w:sz w:val="34"/>
          <w:szCs w:val="34"/>
        </w:rPr>
      </w:pPr>
      <w:r>
        <w:rPr>
          <w:rFonts w:hint="eastAsia" w:eastAsia="方正楷体简体"/>
          <w:b/>
          <w:sz w:val="34"/>
          <w:szCs w:val="34"/>
        </w:rPr>
        <w:t>所投包号：</w:t>
      </w:r>
    </w:p>
    <w:p>
      <w:pPr>
        <w:spacing w:beforeLines="30" w:afterLines="70" w:line="540" w:lineRule="exact"/>
        <w:ind w:left="630" w:leftChars="300"/>
        <w:rPr>
          <w:rFonts w:eastAsia="方正楷体简体"/>
          <w:b/>
          <w:sz w:val="34"/>
          <w:szCs w:val="34"/>
        </w:rPr>
      </w:pPr>
      <w:r>
        <w:rPr>
          <w:rFonts w:eastAsia="方正楷体简体"/>
          <w:b/>
          <w:sz w:val="34"/>
          <w:szCs w:val="34"/>
        </w:rPr>
        <w:t>供应商名称：</w:t>
      </w:r>
    </w:p>
    <w:p>
      <w:pPr>
        <w:spacing w:beforeLines="30" w:afterLines="70" w:line="540" w:lineRule="exact"/>
        <w:ind w:left="630" w:leftChars="300"/>
        <w:rPr>
          <w:rFonts w:eastAsia="方正楷体简体"/>
          <w:b/>
          <w:sz w:val="34"/>
          <w:szCs w:val="34"/>
        </w:rPr>
      </w:pPr>
      <w:r>
        <w:rPr>
          <w:rFonts w:hint="eastAsia" w:eastAsia="方正楷体简体"/>
          <w:b/>
          <w:sz w:val="34"/>
          <w:szCs w:val="34"/>
        </w:rPr>
        <w:t>法定代表人姓名：</w:t>
      </w:r>
    </w:p>
    <w:p>
      <w:pPr>
        <w:spacing w:beforeLines="30" w:afterLines="70" w:line="540" w:lineRule="exact"/>
        <w:ind w:left="630" w:leftChars="300"/>
        <w:rPr>
          <w:rFonts w:eastAsia="方正楷体简体"/>
          <w:b/>
          <w:sz w:val="34"/>
          <w:szCs w:val="34"/>
        </w:rPr>
      </w:pPr>
      <w:r>
        <w:rPr>
          <w:rFonts w:hint="eastAsia" w:eastAsia="方正楷体简体"/>
          <w:b/>
          <w:sz w:val="34"/>
          <w:szCs w:val="34"/>
        </w:rPr>
        <w:t>投标代表人姓名：</w:t>
      </w:r>
    </w:p>
    <w:p>
      <w:pPr>
        <w:spacing w:beforeLines="30" w:afterLines="70" w:line="540" w:lineRule="exact"/>
        <w:ind w:left="630" w:leftChars="300"/>
        <w:rPr>
          <w:rFonts w:eastAsia="方正楷体简体"/>
          <w:b/>
          <w:sz w:val="34"/>
          <w:szCs w:val="34"/>
        </w:rPr>
      </w:pPr>
    </w:p>
    <w:p>
      <w:pPr>
        <w:spacing w:beforeLines="30" w:afterLines="70" w:line="540" w:lineRule="exact"/>
        <w:ind w:left="630" w:leftChars="300"/>
        <w:rPr>
          <w:rFonts w:eastAsia="方正楷体简体"/>
          <w:b/>
          <w:sz w:val="34"/>
          <w:szCs w:val="34"/>
        </w:rPr>
      </w:pPr>
    </w:p>
    <w:p>
      <w:pPr>
        <w:spacing w:beforeLines="30" w:afterLines="70" w:line="540" w:lineRule="exact"/>
        <w:ind w:left="630" w:leftChars="300"/>
        <w:rPr>
          <w:b/>
          <w:kern w:val="0"/>
          <w:sz w:val="24"/>
        </w:rPr>
      </w:pPr>
      <w:r>
        <w:rPr>
          <w:rFonts w:eastAsia="方正楷体简体"/>
          <w:b/>
          <w:sz w:val="34"/>
          <w:szCs w:val="34"/>
        </w:rPr>
        <w:t>递交日期：</w:t>
      </w:r>
    </w:p>
    <w:p>
      <w:pPr>
        <w:tabs>
          <w:tab w:val="left" w:pos="360"/>
        </w:tabs>
        <w:spacing w:line="460" w:lineRule="exact"/>
        <w:jc w:val="center"/>
        <w:rPr>
          <w:b/>
          <w:sz w:val="24"/>
        </w:rPr>
      </w:pPr>
      <w:r>
        <w:rPr>
          <w:sz w:val="24"/>
        </w:rPr>
        <w:br w:type="page"/>
      </w:r>
      <w:r>
        <w:rPr>
          <w:b/>
          <w:sz w:val="24"/>
        </w:rPr>
        <w:t>报价书</w:t>
      </w:r>
    </w:p>
    <w:p>
      <w:pPr>
        <w:spacing w:line="460" w:lineRule="exact"/>
        <w:rPr>
          <w:sz w:val="24"/>
        </w:rPr>
      </w:pPr>
      <w:r>
        <w:rPr>
          <w:sz w:val="24"/>
        </w:rPr>
        <w:t>致：天津市</w:t>
      </w:r>
      <w:r>
        <w:rPr>
          <w:rFonts w:hint="eastAsia"/>
          <w:sz w:val="24"/>
          <w:lang w:eastAsia="zh-CN"/>
        </w:rPr>
        <w:t>滨海新区</w:t>
      </w:r>
      <w:r>
        <w:rPr>
          <w:sz w:val="24"/>
        </w:rPr>
        <w:t>政府采购中心</w:t>
      </w:r>
    </w:p>
    <w:p>
      <w:pPr>
        <w:tabs>
          <w:tab w:val="left" w:pos="540"/>
          <w:tab w:val="left" w:pos="720"/>
        </w:tabs>
        <w:spacing w:line="460" w:lineRule="exact"/>
        <w:ind w:firstLine="480" w:firstLineChars="200"/>
        <w:rPr>
          <w:sz w:val="24"/>
        </w:rPr>
      </w:pPr>
      <w:r>
        <w:rPr>
          <w:sz w:val="24"/>
        </w:rPr>
        <w:t>根据贵方为</w:t>
      </w:r>
      <w:r>
        <w:rPr>
          <w:sz w:val="24"/>
          <w:u w:val="single"/>
        </w:rPr>
        <w:t xml:space="preserve">                      </w:t>
      </w:r>
      <w:r>
        <w:rPr>
          <w:sz w:val="24"/>
        </w:rPr>
        <w:t>项目（项目编号：</w:t>
      </w:r>
      <w:r>
        <w:rPr>
          <w:sz w:val="24"/>
          <w:u w:val="single"/>
        </w:rPr>
        <w:t xml:space="preserve">              </w:t>
      </w:r>
      <w:r>
        <w:rPr>
          <w:sz w:val="24"/>
        </w:rPr>
        <w:t>）的竞争性磋商邀请，签字代表</w:t>
      </w:r>
      <w:r>
        <w:rPr>
          <w:sz w:val="24"/>
          <w:u w:val="single"/>
        </w:rPr>
        <w:t xml:space="preserve">                </w:t>
      </w:r>
      <w:r>
        <w:rPr>
          <w:sz w:val="24"/>
        </w:rPr>
        <w:t>（姓名</w:t>
      </w:r>
      <w:r>
        <w:rPr>
          <w:sz w:val="24"/>
          <w:lang w:val="en-GB"/>
        </w:rPr>
        <w:t>/</w:t>
      </w:r>
      <w:r>
        <w:rPr>
          <w:sz w:val="24"/>
        </w:rPr>
        <w:t>职务）经正式授权并代表投标人</w:t>
      </w:r>
      <w:r>
        <w:rPr>
          <w:sz w:val="24"/>
          <w:u w:val="single"/>
        </w:rPr>
        <w:t xml:space="preserve">                  </w:t>
      </w:r>
      <w:r>
        <w:rPr>
          <w:sz w:val="24"/>
        </w:rPr>
        <w:t>（投标人名称、地址）提交</w:t>
      </w:r>
      <w:r>
        <w:rPr>
          <w:rFonts w:hint="eastAsia"/>
          <w:sz w:val="24"/>
        </w:rPr>
        <w:t>网上应答及上传加盖电子签章的响应文件</w:t>
      </w:r>
      <w:r>
        <w:rPr>
          <w:sz w:val="24"/>
        </w:rPr>
        <w:t>。</w:t>
      </w:r>
    </w:p>
    <w:p>
      <w:pPr>
        <w:spacing w:line="460" w:lineRule="exact"/>
        <w:rPr>
          <w:sz w:val="24"/>
        </w:rPr>
      </w:pPr>
      <w:r>
        <w:rPr>
          <w:sz w:val="24"/>
        </w:rPr>
        <w:t>据此函，签字代表宣布同意如下：</w:t>
      </w:r>
    </w:p>
    <w:p>
      <w:pPr>
        <w:spacing w:line="460" w:lineRule="exact"/>
        <w:ind w:left="480"/>
        <w:jc w:val="left"/>
        <w:rPr>
          <w:sz w:val="24"/>
        </w:rPr>
      </w:pPr>
      <w:r>
        <w:rPr>
          <w:sz w:val="24"/>
        </w:rPr>
        <w:t>1. 所附报价表中规定的应提供服务价格为</w:t>
      </w:r>
    </w:p>
    <w:p>
      <w:pPr>
        <w:spacing w:line="460" w:lineRule="exact"/>
        <w:ind w:left="480"/>
        <w:jc w:val="left"/>
        <w:rPr>
          <w:sz w:val="24"/>
        </w:rPr>
      </w:pPr>
      <w:r>
        <w:rPr>
          <w:sz w:val="24"/>
        </w:rPr>
        <w:t xml:space="preserve">  报价</w:t>
      </w:r>
      <w:r>
        <w:rPr>
          <w:sz w:val="24"/>
          <w:u w:val="single"/>
        </w:rPr>
        <w:t xml:space="preserve">         </w:t>
      </w:r>
      <w:r>
        <w:rPr>
          <w:sz w:val="24"/>
        </w:rPr>
        <w:t>元（注明币种）</w:t>
      </w:r>
    </w:p>
    <w:p>
      <w:pPr>
        <w:spacing w:line="460" w:lineRule="exact"/>
        <w:ind w:left="472" w:firstLine="237"/>
        <w:jc w:val="left"/>
        <w:rPr>
          <w:sz w:val="24"/>
        </w:rPr>
      </w:pPr>
      <w:r>
        <w:rPr>
          <w:sz w:val="24"/>
        </w:rPr>
        <w:t>大写</w:t>
      </w:r>
      <w:r>
        <w:rPr>
          <w:sz w:val="24"/>
          <w:u w:val="single"/>
        </w:rPr>
        <w:t xml:space="preserve">                    </w:t>
      </w:r>
      <w:r>
        <w:rPr>
          <w:sz w:val="24"/>
        </w:rPr>
        <w:t>（文字表述）。</w:t>
      </w:r>
    </w:p>
    <w:p>
      <w:pPr>
        <w:spacing w:line="460" w:lineRule="exact"/>
        <w:ind w:firstLine="471"/>
        <w:rPr>
          <w:sz w:val="24"/>
        </w:rPr>
      </w:pPr>
      <w:r>
        <w:rPr>
          <w:sz w:val="24"/>
        </w:rPr>
        <w:t>2. 投标人已经对全部价格进行了认真核对，保证本报价真实、准确无误，并承担本价格所对应本项目的一切责任和义务。</w:t>
      </w:r>
    </w:p>
    <w:p>
      <w:pPr>
        <w:spacing w:line="460" w:lineRule="exact"/>
        <w:ind w:firstLine="471"/>
        <w:rPr>
          <w:sz w:val="24"/>
        </w:rPr>
      </w:pPr>
      <w:r>
        <w:rPr>
          <w:sz w:val="24"/>
        </w:rPr>
        <w:t>3. 两个阶段响应文件一一对应、不可分割，共同构成我方对本项目的所有承诺。</w:t>
      </w:r>
    </w:p>
    <w:p>
      <w:pPr>
        <w:spacing w:line="460" w:lineRule="exact"/>
        <w:ind w:firstLine="471"/>
        <w:rPr>
          <w:sz w:val="24"/>
        </w:rPr>
      </w:pPr>
    </w:p>
    <w:p>
      <w:pPr>
        <w:spacing w:line="460" w:lineRule="exact"/>
        <w:ind w:firstLine="471"/>
        <w:rPr>
          <w:sz w:val="24"/>
        </w:rPr>
      </w:pPr>
    </w:p>
    <w:p>
      <w:pPr>
        <w:spacing w:line="360" w:lineRule="auto"/>
        <w:ind w:firstLine="4080" w:firstLineChars="1700"/>
        <w:rPr>
          <w:sz w:val="24"/>
        </w:rPr>
      </w:pPr>
      <w:r>
        <w:rPr>
          <w:sz w:val="24"/>
        </w:rPr>
        <w:t>投标人名称：</w:t>
      </w:r>
    </w:p>
    <w:p>
      <w:pPr>
        <w:spacing w:line="360" w:lineRule="auto"/>
        <w:ind w:firstLine="4080" w:firstLineChars="1700"/>
        <w:rPr>
          <w:sz w:val="24"/>
        </w:rPr>
      </w:pPr>
    </w:p>
    <w:p>
      <w:pPr>
        <w:spacing w:line="460" w:lineRule="exact"/>
        <w:ind w:left="192" w:firstLine="3948" w:firstLineChars="1645"/>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60" w:lineRule="exact"/>
        <w:ind w:firstLine="471"/>
        <w:rPr>
          <w:sz w:val="24"/>
        </w:rPr>
      </w:pPr>
    </w:p>
    <w:p>
      <w:pPr>
        <w:spacing w:line="460" w:lineRule="exact"/>
        <w:rPr>
          <w:b/>
          <w:sz w:val="24"/>
        </w:rPr>
        <w:sectPr>
          <w:headerReference r:id="rId10" w:type="default"/>
          <w:footerReference r:id="rId11" w:type="default"/>
          <w:pgSz w:w="11906" w:h="16838"/>
          <w:pgMar w:top="1440" w:right="1800" w:bottom="1440" w:left="1800" w:header="851" w:footer="992" w:gutter="0"/>
          <w:cols w:space="720" w:num="1"/>
          <w:docGrid w:type="lines" w:linePitch="312" w:charSpace="0"/>
        </w:sectPr>
      </w:pPr>
    </w:p>
    <w:p>
      <w:pPr>
        <w:spacing w:line="460" w:lineRule="exact"/>
        <w:rPr>
          <w:b/>
          <w:sz w:val="24"/>
        </w:rPr>
      </w:pPr>
      <w:r>
        <w:rPr>
          <w:b/>
          <w:sz w:val="24"/>
        </w:rPr>
        <w:t>附件1</w:t>
      </w:r>
    </w:p>
    <w:p>
      <w:pPr>
        <w:tabs>
          <w:tab w:val="left" w:pos="3780"/>
          <w:tab w:val="left" w:pos="3960"/>
        </w:tabs>
        <w:spacing w:line="460" w:lineRule="exact"/>
        <w:jc w:val="center"/>
        <w:rPr>
          <w:b/>
          <w:sz w:val="24"/>
        </w:rPr>
      </w:pPr>
      <w:r>
        <w:rPr>
          <w:b/>
          <w:sz w:val="24"/>
        </w:rPr>
        <w:t>报价分项一览表</w:t>
      </w:r>
    </w:p>
    <w:p>
      <w:pPr>
        <w:spacing w:line="460" w:lineRule="exact"/>
        <w:rPr>
          <w:b/>
          <w:sz w:val="24"/>
        </w:rPr>
      </w:pPr>
      <w:r>
        <w:rPr>
          <w:sz w:val="24"/>
        </w:rPr>
        <w:t>项目名称：</w:t>
      </w:r>
      <w:r>
        <w:rPr>
          <w:sz w:val="24"/>
          <w:u w:val="single"/>
        </w:rPr>
        <w:t xml:space="preserve">                    </w:t>
      </w:r>
      <w:r>
        <w:rPr>
          <w:sz w:val="24"/>
        </w:rPr>
        <w:t xml:space="preserve">      </w:t>
      </w:r>
      <w:r>
        <w:rPr>
          <w:b/>
          <w:sz w:val="24"/>
        </w:rPr>
        <w:t xml:space="preserve">            </w:t>
      </w:r>
    </w:p>
    <w:p>
      <w:pPr>
        <w:spacing w:line="460" w:lineRule="exact"/>
        <w:rPr>
          <w:b/>
          <w:sz w:val="24"/>
        </w:rPr>
      </w:pPr>
      <w:r>
        <w:rPr>
          <w:sz w:val="24"/>
        </w:rPr>
        <w:t>项目编号：</w:t>
      </w:r>
      <w:r>
        <w:rPr>
          <w:sz w:val="24"/>
          <w:u w:val="single"/>
        </w:rPr>
        <w:t xml:space="preserve">                    </w:t>
      </w:r>
      <w:r>
        <w:rPr>
          <w:sz w:val="24"/>
        </w:rPr>
        <w:t xml:space="preserve">      </w:t>
      </w:r>
      <w:r>
        <w:rPr>
          <w:b/>
          <w:sz w:val="24"/>
        </w:rPr>
        <w:t xml:space="preserve">            </w:t>
      </w:r>
    </w:p>
    <w:p>
      <w:pPr>
        <w:spacing w:line="460" w:lineRule="exact"/>
        <w:rPr>
          <w:sz w:val="24"/>
        </w:rPr>
      </w:pPr>
    </w:p>
    <w:p>
      <w:pPr>
        <w:spacing w:line="460" w:lineRule="exact"/>
        <w:ind w:right="240"/>
        <w:jc w:val="right"/>
        <w:rPr>
          <w:sz w:val="24"/>
        </w:rPr>
      </w:pPr>
      <w:r>
        <w:rPr>
          <w:sz w:val="24"/>
        </w:rPr>
        <w:t xml:space="preserve">                                                    单位：元</w:t>
      </w:r>
    </w:p>
    <w:tbl>
      <w:tblPr>
        <w:tblStyle w:val="19"/>
        <w:tblW w:w="13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407"/>
        <w:gridCol w:w="853"/>
        <w:gridCol w:w="2056"/>
        <w:gridCol w:w="1843"/>
        <w:gridCol w:w="2410"/>
        <w:gridCol w:w="2693"/>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Header/>
          <w:jc w:val="center"/>
        </w:trPr>
        <w:tc>
          <w:tcPr>
            <w:tcW w:w="2165" w:type="dxa"/>
            <w:gridSpan w:val="2"/>
            <w:tcBorders>
              <w:top w:val="nil"/>
              <w:left w:val="nil"/>
              <w:right w:val="nil"/>
            </w:tcBorders>
            <w:shd w:val="clear" w:color="auto" w:fill="auto"/>
            <w:noWrap/>
            <w:vAlign w:val="center"/>
          </w:tcPr>
          <w:p>
            <w:pPr>
              <w:widowControl/>
              <w:jc w:val="center"/>
              <w:rPr>
                <w:rFonts w:ascii="宋体" w:hAnsi="宋体"/>
                <w:b/>
                <w:bCs/>
                <w:kern w:val="0"/>
                <w:sz w:val="20"/>
              </w:rPr>
            </w:pPr>
          </w:p>
        </w:tc>
        <w:tc>
          <w:tcPr>
            <w:tcW w:w="11734" w:type="dxa"/>
            <w:gridSpan w:val="6"/>
          </w:tcPr>
          <w:p>
            <w:pPr>
              <w:widowControl/>
              <w:jc w:val="center"/>
              <w:rPr>
                <w:rFonts w:ascii="宋体" w:hAnsi="宋体" w:cs="宋体"/>
                <w:b/>
                <w:bCs/>
                <w:kern w:val="0"/>
                <w:sz w:val="20"/>
              </w:rPr>
            </w:pPr>
            <w:r>
              <w:rPr>
                <w:rFonts w:hint="eastAsia" w:ascii="宋体" w:hAnsi="宋体" w:cs="宋体"/>
                <w:b/>
                <w:bCs/>
                <w:kern w:val="0"/>
                <w:sz w:val="20"/>
              </w:rPr>
              <w:t>保险费报价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blHeader/>
          <w:jc w:val="center"/>
        </w:trPr>
        <w:tc>
          <w:tcPr>
            <w:tcW w:w="758" w:type="dxa"/>
            <w:shd w:val="clear" w:color="auto" w:fill="auto"/>
            <w:noWrap/>
            <w:vAlign w:val="center"/>
          </w:tcPr>
          <w:p>
            <w:pPr>
              <w:widowControl/>
              <w:jc w:val="center"/>
              <w:rPr>
                <w:b/>
                <w:bCs/>
                <w:kern w:val="0"/>
                <w:sz w:val="20"/>
              </w:rPr>
            </w:pPr>
            <w:r>
              <w:rPr>
                <w:b/>
                <w:bCs/>
                <w:kern w:val="0"/>
                <w:sz w:val="20"/>
              </w:rPr>
              <w:t>序号</w:t>
            </w:r>
          </w:p>
        </w:tc>
        <w:tc>
          <w:tcPr>
            <w:tcW w:w="1407" w:type="dxa"/>
            <w:shd w:val="clear" w:color="000000" w:fill="FFFFFF"/>
            <w:vAlign w:val="center"/>
          </w:tcPr>
          <w:p>
            <w:pPr>
              <w:widowControl/>
              <w:jc w:val="center"/>
              <w:rPr>
                <w:b/>
                <w:bCs/>
                <w:kern w:val="0"/>
                <w:sz w:val="20"/>
              </w:rPr>
            </w:pPr>
            <w:r>
              <w:rPr>
                <w:b/>
                <w:bCs/>
                <w:kern w:val="0"/>
                <w:sz w:val="20"/>
              </w:rPr>
              <w:t>车辆号牌</w:t>
            </w:r>
          </w:p>
        </w:tc>
        <w:tc>
          <w:tcPr>
            <w:tcW w:w="853" w:type="dxa"/>
            <w:shd w:val="clear" w:color="auto" w:fill="auto"/>
            <w:vAlign w:val="center"/>
          </w:tcPr>
          <w:p>
            <w:pPr>
              <w:widowControl/>
              <w:jc w:val="center"/>
              <w:rPr>
                <w:b/>
                <w:bCs/>
                <w:kern w:val="0"/>
                <w:sz w:val="20"/>
              </w:rPr>
            </w:pPr>
            <w:r>
              <w:rPr>
                <w:b/>
                <w:bCs/>
                <w:kern w:val="0"/>
                <w:sz w:val="20"/>
              </w:rPr>
              <w:t>交强险</w:t>
            </w:r>
          </w:p>
        </w:tc>
        <w:tc>
          <w:tcPr>
            <w:tcW w:w="2056" w:type="dxa"/>
            <w:shd w:val="clear" w:color="auto" w:fill="auto"/>
            <w:vAlign w:val="center"/>
          </w:tcPr>
          <w:p>
            <w:pPr>
              <w:widowControl/>
              <w:jc w:val="center"/>
              <w:rPr>
                <w:b/>
                <w:bCs/>
                <w:kern w:val="0"/>
                <w:sz w:val="20"/>
              </w:rPr>
            </w:pPr>
            <w:r>
              <w:rPr>
                <w:b/>
                <w:bCs/>
                <w:kern w:val="0"/>
                <w:sz w:val="20"/>
              </w:rPr>
              <w:t>第三者责任保险（</w:t>
            </w:r>
            <w:r>
              <w:rPr>
                <w:rFonts w:hint="eastAsia"/>
                <w:b/>
                <w:bCs/>
                <w:kern w:val="0"/>
                <w:sz w:val="20"/>
              </w:rPr>
              <w:t>2</w:t>
            </w:r>
            <w:r>
              <w:rPr>
                <w:b/>
                <w:bCs/>
                <w:kern w:val="0"/>
                <w:sz w:val="20"/>
              </w:rPr>
              <w:t>00万元）</w:t>
            </w:r>
          </w:p>
        </w:tc>
        <w:tc>
          <w:tcPr>
            <w:tcW w:w="1843" w:type="dxa"/>
            <w:shd w:val="clear" w:color="auto" w:fill="auto"/>
            <w:vAlign w:val="center"/>
          </w:tcPr>
          <w:p>
            <w:pPr>
              <w:widowControl/>
              <w:jc w:val="center"/>
              <w:rPr>
                <w:b/>
                <w:bCs/>
                <w:kern w:val="0"/>
                <w:sz w:val="20"/>
              </w:rPr>
            </w:pPr>
            <w:r>
              <w:rPr>
                <w:b/>
                <w:bCs/>
                <w:kern w:val="0"/>
                <w:sz w:val="20"/>
              </w:rPr>
              <w:t>机动车损失保险</w:t>
            </w:r>
          </w:p>
        </w:tc>
        <w:tc>
          <w:tcPr>
            <w:tcW w:w="2410" w:type="dxa"/>
            <w:vAlign w:val="center"/>
          </w:tcPr>
          <w:p>
            <w:pPr>
              <w:widowControl/>
              <w:jc w:val="center"/>
              <w:rPr>
                <w:b/>
                <w:bCs/>
                <w:kern w:val="0"/>
                <w:sz w:val="20"/>
              </w:rPr>
            </w:pPr>
            <w:r>
              <w:rPr>
                <w:b/>
                <w:bCs/>
                <w:kern w:val="0"/>
                <w:sz w:val="20"/>
              </w:rPr>
              <w:t>车上人员责任保险（司机</w:t>
            </w:r>
            <w:r>
              <w:rPr>
                <w:rFonts w:hint="eastAsia"/>
                <w:b/>
                <w:bCs/>
                <w:kern w:val="0"/>
                <w:sz w:val="20"/>
              </w:rPr>
              <w:t>1</w:t>
            </w:r>
            <w:r>
              <w:rPr>
                <w:b/>
                <w:bCs/>
                <w:kern w:val="0"/>
                <w:sz w:val="20"/>
              </w:rPr>
              <w:t>万元）</w:t>
            </w:r>
          </w:p>
        </w:tc>
        <w:tc>
          <w:tcPr>
            <w:tcW w:w="2693" w:type="dxa"/>
            <w:vAlign w:val="center"/>
          </w:tcPr>
          <w:p>
            <w:pPr>
              <w:widowControl/>
              <w:jc w:val="center"/>
              <w:rPr>
                <w:b/>
                <w:bCs/>
                <w:kern w:val="0"/>
                <w:sz w:val="20"/>
              </w:rPr>
            </w:pPr>
            <w:r>
              <w:rPr>
                <w:b/>
                <w:bCs/>
                <w:kern w:val="0"/>
                <w:sz w:val="20"/>
              </w:rPr>
              <w:t>车上人员责任保险（乘客每人</w:t>
            </w:r>
            <w:r>
              <w:rPr>
                <w:rFonts w:hint="eastAsia"/>
                <w:b/>
                <w:bCs/>
                <w:kern w:val="0"/>
                <w:sz w:val="20"/>
              </w:rPr>
              <w:t>1</w:t>
            </w:r>
            <w:r>
              <w:rPr>
                <w:b/>
                <w:bCs/>
                <w:kern w:val="0"/>
                <w:sz w:val="20"/>
              </w:rPr>
              <w:t>万元）</w:t>
            </w:r>
          </w:p>
        </w:tc>
        <w:tc>
          <w:tcPr>
            <w:tcW w:w="1879" w:type="dxa"/>
            <w:vAlign w:val="center"/>
          </w:tcPr>
          <w:p>
            <w:pPr>
              <w:widowControl/>
              <w:jc w:val="center"/>
              <w:rPr>
                <w:b/>
                <w:bCs/>
                <w:kern w:val="0"/>
                <w:sz w:val="20"/>
              </w:rPr>
            </w:pPr>
            <w:r>
              <w:rPr>
                <w:b/>
                <w:bCs/>
                <w:kern w:val="0"/>
                <w:sz w:val="20"/>
              </w:rPr>
              <w:t>车船税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Header/>
          <w:jc w:val="center"/>
        </w:trPr>
        <w:tc>
          <w:tcPr>
            <w:tcW w:w="758" w:type="dxa"/>
            <w:shd w:val="clear" w:color="auto" w:fill="auto"/>
            <w:noWrap/>
            <w:vAlign w:val="center"/>
          </w:tcPr>
          <w:p>
            <w:pPr>
              <w:widowControl/>
              <w:jc w:val="center"/>
              <w:rPr>
                <w:rFonts w:ascii="宋体" w:hAnsi="宋体"/>
                <w:b/>
                <w:bCs/>
                <w:kern w:val="0"/>
                <w:sz w:val="20"/>
              </w:rPr>
            </w:pPr>
          </w:p>
        </w:tc>
        <w:tc>
          <w:tcPr>
            <w:tcW w:w="1407" w:type="dxa"/>
            <w:shd w:val="clear" w:color="000000" w:fill="FFFFFF"/>
            <w:vAlign w:val="center"/>
          </w:tcPr>
          <w:p>
            <w:pPr>
              <w:widowControl/>
              <w:jc w:val="center"/>
              <w:rPr>
                <w:rFonts w:ascii="宋体" w:hAnsi="宋体"/>
                <w:b/>
                <w:bCs/>
                <w:kern w:val="0"/>
                <w:sz w:val="20"/>
              </w:rPr>
            </w:pPr>
          </w:p>
        </w:tc>
        <w:tc>
          <w:tcPr>
            <w:tcW w:w="853" w:type="dxa"/>
            <w:shd w:val="clear" w:color="auto" w:fill="auto"/>
            <w:vAlign w:val="center"/>
          </w:tcPr>
          <w:p>
            <w:pPr>
              <w:widowControl/>
              <w:jc w:val="center"/>
              <w:rPr>
                <w:rFonts w:ascii="宋体" w:hAnsi="宋体" w:cs="宋体"/>
                <w:b/>
                <w:bCs/>
                <w:kern w:val="0"/>
                <w:sz w:val="20"/>
              </w:rPr>
            </w:pPr>
          </w:p>
        </w:tc>
        <w:tc>
          <w:tcPr>
            <w:tcW w:w="2056" w:type="dxa"/>
            <w:shd w:val="clear" w:color="auto" w:fill="auto"/>
            <w:vAlign w:val="center"/>
          </w:tcPr>
          <w:p>
            <w:pPr>
              <w:widowControl/>
              <w:jc w:val="center"/>
              <w:rPr>
                <w:rFonts w:ascii="宋体" w:hAnsi="宋体" w:cs="宋体"/>
                <w:b/>
                <w:bCs/>
                <w:kern w:val="0"/>
                <w:sz w:val="20"/>
              </w:rPr>
            </w:pPr>
          </w:p>
        </w:tc>
        <w:tc>
          <w:tcPr>
            <w:tcW w:w="1843" w:type="dxa"/>
            <w:shd w:val="clear" w:color="auto" w:fill="auto"/>
            <w:vAlign w:val="center"/>
          </w:tcPr>
          <w:p>
            <w:pPr>
              <w:widowControl/>
              <w:jc w:val="center"/>
              <w:rPr>
                <w:rFonts w:ascii="宋体" w:hAnsi="宋体" w:cs="宋体"/>
                <w:b/>
                <w:bCs/>
                <w:kern w:val="0"/>
                <w:sz w:val="20"/>
              </w:rPr>
            </w:pPr>
          </w:p>
        </w:tc>
        <w:tc>
          <w:tcPr>
            <w:tcW w:w="2410" w:type="dxa"/>
            <w:vAlign w:val="center"/>
          </w:tcPr>
          <w:p>
            <w:pPr>
              <w:widowControl/>
              <w:jc w:val="center"/>
              <w:rPr>
                <w:rFonts w:ascii="宋体" w:hAnsi="宋体" w:cs="宋体"/>
                <w:b/>
                <w:bCs/>
                <w:kern w:val="0"/>
                <w:sz w:val="20"/>
              </w:rPr>
            </w:pPr>
          </w:p>
        </w:tc>
        <w:tc>
          <w:tcPr>
            <w:tcW w:w="2693" w:type="dxa"/>
            <w:vAlign w:val="center"/>
          </w:tcPr>
          <w:p>
            <w:pPr>
              <w:widowControl/>
              <w:jc w:val="center"/>
              <w:rPr>
                <w:rFonts w:ascii="宋体" w:hAnsi="宋体" w:cs="宋体"/>
                <w:b/>
                <w:bCs/>
                <w:kern w:val="0"/>
                <w:sz w:val="20"/>
              </w:rPr>
            </w:pPr>
          </w:p>
        </w:tc>
        <w:tc>
          <w:tcPr>
            <w:tcW w:w="1879" w:type="dxa"/>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Header/>
          <w:jc w:val="center"/>
        </w:trPr>
        <w:tc>
          <w:tcPr>
            <w:tcW w:w="758" w:type="dxa"/>
            <w:shd w:val="clear" w:color="auto" w:fill="auto"/>
            <w:noWrap/>
            <w:vAlign w:val="center"/>
          </w:tcPr>
          <w:p>
            <w:pPr>
              <w:widowControl/>
              <w:jc w:val="center"/>
              <w:rPr>
                <w:rFonts w:ascii="宋体" w:hAnsi="宋体"/>
                <w:b/>
                <w:bCs/>
                <w:kern w:val="0"/>
                <w:sz w:val="20"/>
              </w:rPr>
            </w:pPr>
          </w:p>
        </w:tc>
        <w:tc>
          <w:tcPr>
            <w:tcW w:w="1407" w:type="dxa"/>
            <w:shd w:val="clear" w:color="000000" w:fill="FFFFFF"/>
            <w:vAlign w:val="center"/>
          </w:tcPr>
          <w:p>
            <w:pPr>
              <w:widowControl/>
              <w:jc w:val="center"/>
              <w:rPr>
                <w:rFonts w:ascii="宋体" w:hAnsi="宋体"/>
                <w:b/>
                <w:bCs/>
                <w:kern w:val="0"/>
                <w:sz w:val="20"/>
              </w:rPr>
            </w:pPr>
          </w:p>
        </w:tc>
        <w:tc>
          <w:tcPr>
            <w:tcW w:w="853" w:type="dxa"/>
            <w:shd w:val="clear" w:color="auto" w:fill="auto"/>
            <w:vAlign w:val="center"/>
          </w:tcPr>
          <w:p>
            <w:pPr>
              <w:widowControl/>
              <w:jc w:val="center"/>
              <w:rPr>
                <w:rFonts w:ascii="宋体" w:hAnsi="宋体" w:cs="宋体"/>
                <w:b/>
                <w:bCs/>
                <w:kern w:val="0"/>
                <w:sz w:val="20"/>
              </w:rPr>
            </w:pPr>
          </w:p>
        </w:tc>
        <w:tc>
          <w:tcPr>
            <w:tcW w:w="2056" w:type="dxa"/>
            <w:shd w:val="clear" w:color="auto" w:fill="auto"/>
            <w:vAlign w:val="center"/>
          </w:tcPr>
          <w:p>
            <w:pPr>
              <w:widowControl/>
              <w:jc w:val="center"/>
              <w:rPr>
                <w:rFonts w:ascii="宋体" w:hAnsi="宋体" w:cs="宋体"/>
                <w:b/>
                <w:bCs/>
                <w:kern w:val="0"/>
                <w:sz w:val="20"/>
              </w:rPr>
            </w:pPr>
          </w:p>
        </w:tc>
        <w:tc>
          <w:tcPr>
            <w:tcW w:w="1843" w:type="dxa"/>
            <w:shd w:val="clear" w:color="auto" w:fill="auto"/>
            <w:vAlign w:val="center"/>
          </w:tcPr>
          <w:p>
            <w:pPr>
              <w:widowControl/>
              <w:jc w:val="center"/>
              <w:rPr>
                <w:rFonts w:ascii="宋体" w:hAnsi="宋体" w:cs="宋体"/>
                <w:b/>
                <w:bCs/>
                <w:kern w:val="0"/>
                <w:sz w:val="20"/>
              </w:rPr>
            </w:pPr>
          </w:p>
        </w:tc>
        <w:tc>
          <w:tcPr>
            <w:tcW w:w="2410" w:type="dxa"/>
            <w:vAlign w:val="center"/>
          </w:tcPr>
          <w:p>
            <w:pPr>
              <w:widowControl/>
              <w:jc w:val="center"/>
              <w:rPr>
                <w:rFonts w:ascii="宋体" w:hAnsi="宋体" w:cs="宋体"/>
                <w:b/>
                <w:bCs/>
                <w:kern w:val="0"/>
                <w:sz w:val="20"/>
              </w:rPr>
            </w:pPr>
          </w:p>
        </w:tc>
        <w:tc>
          <w:tcPr>
            <w:tcW w:w="2693" w:type="dxa"/>
            <w:vAlign w:val="center"/>
          </w:tcPr>
          <w:p>
            <w:pPr>
              <w:widowControl/>
              <w:jc w:val="center"/>
              <w:rPr>
                <w:rFonts w:ascii="宋体" w:hAnsi="宋体" w:cs="宋体"/>
                <w:b/>
                <w:bCs/>
                <w:kern w:val="0"/>
                <w:sz w:val="20"/>
              </w:rPr>
            </w:pPr>
          </w:p>
        </w:tc>
        <w:tc>
          <w:tcPr>
            <w:tcW w:w="1879" w:type="dxa"/>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jc w:val="center"/>
        </w:trPr>
        <w:tc>
          <w:tcPr>
            <w:tcW w:w="2165" w:type="dxa"/>
            <w:gridSpan w:val="2"/>
            <w:shd w:val="clear" w:color="auto" w:fill="auto"/>
            <w:noWrap/>
            <w:vAlign w:val="center"/>
          </w:tcPr>
          <w:p>
            <w:pPr>
              <w:widowControl/>
              <w:jc w:val="center"/>
              <w:rPr>
                <w:rFonts w:ascii="宋体" w:hAnsi="宋体"/>
                <w:b/>
                <w:bCs/>
                <w:kern w:val="0"/>
                <w:sz w:val="20"/>
              </w:rPr>
            </w:pPr>
            <w:r>
              <w:rPr>
                <w:rFonts w:hint="eastAsia" w:ascii="宋体" w:hAnsi="宋体"/>
                <w:b/>
                <w:bCs/>
                <w:kern w:val="0"/>
                <w:sz w:val="20"/>
              </w:rPr>
              <w:t>合计</w:t>
            </w:r>
          </w:p>
        </w:tc>
        <w:tc>
          <w:tcPr>
            <w:tcW w:w="853" w:type="dxa"/>
            <w:shd w:val="clear" w:color="auto" w:fill="auto"/>
            <w:vAlign w:val="center"/>
          </w:tcPr>
          <w:p>
            <w:pPr>
              <w:widowControl/>
              <w:jc w:val="center"/>
              <w:rPr>
                <w:rFonts w:ascii="宋体" w:hAnsi="宋体" w:cs="宋体"/>
                <w:b/>
                <w:bCs/>
                <w:kern w:val="0"/>
                <w:sz w:val="20"/>
              </w:rPr>
            </w:pPr>
          </w:p>
        </w:tc>
        <w:tc>
          <w:tcPr>
            <w:tcW w:w="2056" w:type="dxa"/>
            <w:shd w:val="clear" w:color="auto" w:fill="auto"/>
            <w:vAlign w:val="center"/>
          </w:tcPr>
          <w:p>
            <w:pPr>
              <w:widowControl/>
              <w:jc w:val="center"/>
              <w:rPr>
                <w:rFonts w:ascii="宋体" w:hAnsi="宋体" w:cs="宋体"/>
                <w:b/>
                <w:bCs/>
                <w:kern w:val="0"/>
                <w:sz w:val="20"/>
              </w:rPr>
            </w:pPr>
          </w:p>
        </w:tc>
        <w:tc>
          <w:tcPr>
            <w:tcW w:w="1843" w:type="dxa"/>
            <w:shd w:val="clear" w:color="auto" w:fill="auto"/>
            <w:vAlign w:val="center"/>
          </w:tcPr>
          <w:p>
            <w:pPr>
              <w:widowControl/>
              <w:jc w:val="center"/>
              <w:rPr>
                <w:rFonts w:ascii="宋体" w:hAnsi="宋体" w:cs="宋体"/>
                <w:b/>
                <w:bCs/>
                <w:kern w:val="0"/>
                <w:sz w:val="20"/>
              </w:rPr>
            </w:pPr>
          </w:p>
        </w:tc>
        <w:tc>
          <w:tcPr>
            <w:tcW w:w="2410" w:type="dxa"/>
            <w:vAlign w:val="center"/>
          </w:tcPr>
          <w:p>
            <w:pPr>
              <w:widowControl/>
              <w:jc w:val="center"/>
              <w:rPr>
                <w:rFonts w:ascii="宋体" w:hAnsi="宋体" w:cs="宋体"/>
                <w:b/>
                <w:bCs/>
                <w:kern w:val="0"/>
                <w:sz w:val="20"/>
              </w:rPr>
            </w:pPr>
          </w:p>
        </w:tc>
        <w:tc>
          <w:tcPr>
            <w:tcW w:w="2693" w:type="dxa"/>
            <w:vAlign w:val="center"/>
          </w:tcPr>
          <w:p>
            <w:pPr>
              <w:widowControl/>
              <w:jc w:val="center"/>
              <w:rPr>
                <w:rFonts w:ascii="宋体" w:hAnsi="宋体" w:cs="宋体"/>
                <w:b/>
                <w:bCs/>
                <w:kern w:val="0"/>
                <w:sz w:val="20"/>
              </w:rPr>
            </w:pPr>
          </w:p>
        </w:tc>
        <w:tc>
          <w:tcPr>
            <w:tcW w:w="1879" w:type="dxa"/>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jc w:val="center"/>
        </w:trPr>
        <w:tc>
          <w:tcPr>
            <w:tcW w:w="2165" w:type="dxa"/>
            <w:gridSpan w:val="2"/>
            <w:shd w:val="clear" w:color="auto" w:fill="auto"/>
            <w:noWrap/>
            <w:vAlign w:val="center"/>
          </w:tcPr>
          <w:p>
            <w:pPr>
              <w:widowControl/>
              <w:jc w:val="center"/>
              <w:rPr>
                <w:rFonts w:ascii="宋体" w:hAnsi="宋体"/>
                <w:b/>
                <w:bCs/>
                <w:kern w:val="0"/>
                <w:sz w:val="20"/>
              </w:rPr>
            </w:pPr>
            <w:r>
              <w:rPr>
                <w:rFonts w:hint="eastAsia" w:ascii="宋体" w:hAnsi="宋体"/>
                <w:b/>
                <w:bCs/>
                <w:kern w:val="0"/>
                <w:sz w:val="20"/>
              </w:rPr>
              <w:t>磋商总价</w:t>
            </w:r>
          </w:p>
        </w:tc>
        <w:tc>
          <w:tcPr>
            <w:tcW w:w="11734" w:type="dxa"/>
            <w:gridSpan w:val="6"/>
            <w:shd w:val="clear" w:color="auto" w:fill="auto"/>
            <w:vAlign w:val="center"/>
          </w:tcPr>
          <w:p>
            <w:pPr>
              <w:widowControl/>
              <w:jc w:val="center"/>
              <w:rPr>
                <w:rFonts w:ascii="宋体" w:hAnsi="宋体" w:cs="宋体"/>
                <w:b/>
                <w:bCs/>
                <w:kern w:val="0"/>
                <w:sz w:val="20"/>
              </w:rPr>
            </w:pPr>
          </w:p>
        </w:tc>
      </w:tr>
    </w:tbl>
    <w:p>
      <w:pPr>
        <w:spacing w:line="460" w:lineRule="exact"/>
        <w:rPr>
          <w:sz w:val="24"/>
        </w:rPr>
      </w:pPr>
    </w:p>
    <w:p>
      <w:pPr>
        <w:spacing w:line="360" w:lineRule="auto"/>
        <w:ind w:firstLine="3808" w:firstLineChars="1700"/>
        <w:rPr>
          <w:sz w:val="24"/>
        </w:rPr>
      </w:pPr>
      <w:r>
        <w:rPr>
          <w:sz w:val="24"/>
        </w:rPr>
        <w:t>投标人名称：</w:t>
      </w:r>
    </w:p>
    <w:p>
      <w:pPr>
        <w:spacing w:line="460" w:lineRule="exact"/>
        <w:ind w:left="192" w:firstLine="3685" w:firstLineChars="1645"/>
        <w:rPr>
          <w:sz w:val="24"/>
          <w:szCs w:val="21"/>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sectPr>
      <w:headerReference r:id="rId12" w:type="default"/>
      <w:footerReference r:id="rId13" w:type="default"/>
      <w:pgSz w:w="16838" w:h="11906" w:orient="landscape"/>
      <w:pgMar w:top="1797" w:right="1440" w:bottom="1797" w:left="1440" w:header="851" w:footer="992" w:gutter="0"/>
      <w:pgNumType w:fmt="decimal"/>
      <w:cols w:space="425" w:num="1"/>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
    <w:altName w:val="宋体"/>
    <w:panose1 w:val="00000000000000000000"/>
    <w:charset w:val="86"/>
    <w:family w:val="roman"/>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方正行楷简体">
    <w:altName w:val="Arial Unicode MS"/>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jc w:val="center"/>
                    </w:pPr>
                    <w:r>
                      <w:rPr>
                        <w:b/>
                      </w:rPr>
                      <w:fldChar w:fldCharType="begin"/>
                    </w:r>
                    <w:r>
                      <w:rPr>
                        <w:b/>
                      </w:rPr>
                      <w:instrText xml:space="preserve">PAGE  \* Arabic  \* MERGEFORMAT</w:instrText>
                    </w:r>
                    <w:r>
                      <w:rPr>
                        <w:b/>
                      </w:rPr>
                      <w:fldChar w:fldCharType="separate"/>
                    </w:r>
                    <w:r>
                      <w:rPr>
                        <w:b/>
                        <w:lang w:val="zh-CN"/>
                      </w:rPr>
                      <w:t>7</w:t>
                    </w:r>
                    <w:r>
                      <w:rPr>
                        <w:b/>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00215"/>
    <w:multiLevelType w:val="singleLevel"/>
    <w:tmpl w:val="9BD00215"/>
    <w:lvl w:ilvl="0" w:tentative="0">
      <w:start w:val="1"/>
      <w:numFmt w:val="decimal"/>
      <w:suff w:val="nothing"/>
      <w:lvlText w:val="%1、"/>
      <w:lvlJc w:val="left"/>
    </w:lvl>
  </w:abstractNum>
  <w:abstractNum w:abstractNumId="1">
    <w:nsid w:val="BCF5A594"/>
    <w:multiLevelType w:val="singleLevel"/>
    <w:tmpl w:val="BCF5A594"/>
    <w:lvl w:ilvl="0" w:tentative="0">
      <w:start w:val="2"/>
      <w:numFmt w:val="decimal"/>
      <w:suff w:val="nothing"/>
      <w:lvlText w:val="%1、"/>
      <w:lvlJc w:val="left"/>
    </w:lvl>
  </w:abstractNum>
  <w:abstractNum w:abstractNumId="2">
    <w:nsid w:val="DB4A9401"/>
    <w:multiLevelType w:val="singleLevel"/>
    <w:tmpl w:val="DB4A9401"/>
    <w:lvl w:ilvl="0" w:tentative="0">
      <w:start w:val="1"/>
      <w:numFmt w:val="decimal"/>
      <w:suff w:val="nothing"/>
      <w:lvlText w:val="%1、"/>
      <w:lvlJc w:val="left"/>
    </w:lvl>
  </w:abstractNum>
  <w:abstractNum w:abstractNumId="3">
    <w:nsid w:val="DF1D2495"/>
    <w:multiLevelType w:val="singleLevel"/>
    <w:tmpl w:val="DF1D2495"/>
    <w:lvl w:ilvl="0" w:tentative="0">
      <w:start w:val="1"/>
      <w:numFmt w:val="decimal"/>
      <w:suff w:val="nothing"/>
      <w:lvlText w:val="%1、"/>
      <w:lvlJc w:val="left"/>
    </w:lvl>
  </w:abstractNum>
  <w:abstractNum w:abstractNumId="4">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5">
    <w:nsid w:val="2E4CA392"/>
    <w:multiLevelType w:val="singleLevel"/>
    <w:tmpl w:val="2E4CA392"/>
    <w:lvl w:ilvl="0" w:tentative="0">
      <w:start w:val="1"/>
      <w:numFmt w:val="decimal"/>
      <w:suff w:val="nothing"/>
      <w:lvlText w:val="%1、"/>
      <w:lvlJc w:val="left"/>
    </w:lvl>
  </w:abstractNum>
  <w:abstractNum w:abstractNumId="6">
    <w:nsid w:val="367F6A45"/>
    <w:multiLevelType w:val="multilevel"/>
    <w:tmpl w:val="367F6A45"/>
    <w:lvl w:ilvl="0" w:tentative="0">
      <w:start w:val="1"/>
      <w:numFmt w:val="decimal"/>
      <w:pStyle w:val="4"/>
      <w:lvlText w:val="%1."/>
      <w:lvlJc w:val="left"/>
      <w:pPr>
        <w:ind w:left="360" w:hanging="360"/>
      </w:pPr>
      <w:rPr>
        <w:rFonts w:hint="default"/>
      </w:rPr>
    </w:lvl>
    <w:lvl w:ilvl="1" w:tentative="0">
      <w:start w:val="1"/>
      <w:numFmt w:val="decimal"/>
      <w:pStyle w:val="3"/>
      <w:lvlText w:val="%1.%2"/>
      <w:lvlJc w:val="left"/>
      <w:pPr>
        <w:tabs>
          <w:tab w:val="left" w:pos="432"/>
        </w:tabs>
        <w:ind w:left="432" w:hanging="432"/>
      </w:pPr>
      <w:rPr>
        <w:rFonts w:hint="default"/>
      </w:rPr>
    </w:lvl>
    <w:lvl w:ilvl="2" w:tentative="0">
      <w:start w:val="1"/>
      <w:numFmt w:val="lowerLetter"/>
      <w:pStyle w:val="6"/>
      <w:lvlText w:val="%3."/>
      <w:lvlJc w:val="left"/>
      <w:pPr>
        <w:ind w:left="792" w:hanging="360"/>
      </w:pPr>
      <w:rPr>
        <w:rFonts w:hint="default"/>
      </w:rPr>
    </w:lvl>
    <w:lvl w:ilvl="3" w:tentative="0">
      <w:start w:val="1"/>
      <w:numFmt w:val="lowerRoman"/>
      <w:pStyle w:val="8"/>
      <w:lvlText w:val="%4."/>
      <w:lvlJc w:val="left"/>
      <w:pPr>
        <w:ind w:left="1152" w:hanging="360"/>
      </w:pPr>
      <w:rPr>
        <w:rFonts w:hint="default"/>
      </w:rPr>
    </w:lvl>
    <w:lvl w:ilvl="4" w:tentative="0">
      <w:start w:val="1"/>
      <w:numFmt w:val="lowerLetter"/>
      <w:pStyle w:val="15"/>
      <w:lvlText w:val="(%5)"/>
      <w:lvlJc w:val="left"/>
      <w:pPr>
        <w:ind w:left="1512" w:hanging="360"/>
      </w:pPr>
      <w:rPr>
        <w:rFonts w:hint="default"/>
      </w:rPr>
    </w:lvl>
    <w:lvl w:ilvl="5" w:tentative="0">
      <w:start w:val="1"/>
      <w:numFmt w:val="lowerRoman"/>
      <w:lvlText w:val="(%6)"/>
      <w:lvlJc w:val="left"/>
      <w:pPr>
        <w:ind w:left="1872" w:hanging="360"/>
      </w:pPr>
      <w:rPr>
        <w:rFonts w:hint="default"/>
      </w:rPr>
    </w:lvl>
    <w:lvl w:ilvl="6" w:tentative="0">
      <w:start w:val="1"/>
      <w:numFmt w:val="decimal"/>
      <w:lvlText w:val="%7."/>
      <w:lvlJc w:val="left"/>
      <w:pPr>
        <w:ind w:left="2232" w:hanging="360"/>
      </w:pPr>
      <w:rPr>
        <w:rFonts w:hint="default"/>
      </w:rPr>
    </w:lvl>
    <w:lvl w:ilvl="7" w:tentative="0">
      <w:start w:val="1"/>
      <w:numFmt w:val="lowerLetter"/>
      <w:lvlText w:val="%8."/>
      <w:lvlJc w:val="left"/>
      <w:pPr>
        <w:ind w:left="2592" w:hanging="360"/>
      </w:pPr>
      <w:rPr>
        <w:rFonts w:hint="default"/>
      </w:rPr>
    </w:lvl>
    <w:lvl w:ilvl="8" w:tentative="0">
      <w:start w:val="1"/>
      <w:numFmt w:val="lowerRoman"/>
      <w:lvlText w:val="%9."/>
      <w:lvlJc w:val="left"/>
      <w:pPr>
        <w:ind w:left="2952" w:hanging="360"/>
      </w:pPr>
      <w:rPr>
        <w:rFonts w:hint="default"/>
      </w:rPr>
    </w:lvl>
  </w:abstractNum>
  <w:abstractNum w:abstractNumId="7">
    <w:nsid w:val="3D0057A3"/>
    <w:multiLevelType w:val="multilevel"/>
    <w:tmpl w:val="3D0057A3"/>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61946AA4"/>
    <w:multiLevelType w:val="singleLevel"/>
    <w:tmpl w:val="61946AA4"/>
    <w:lvl w:ilvl="0" w:tentative="0">
      <w:start w:val="5"/>
      <w:numFmt w:val="chineseCounting"/>
      <w:suff w:val="nothing"/>
      <w:lvlText w:val="（%1）"/>
      <w:lvlJc w:val="left"/>
      <w:rPr>
        <w:rFonts w:hint="eastAsia"/>
      </w:rPr>
    </w:lvl>
  </w:abstractNum>
  <w:abstractNum w:abstractNumId="9">
    <w:nsid w:val="6866547A"/>
    <w:multiLevelType w:val="singleLevel"/>
    <w:tmpl w:val="6866547A"/>
    <w:lvl w:ilvl="0" w:tentative="0">
      <w:start w:val="6"/>
      <w:numFmt w:val="decimal"/>
      <w:suff w:val="nothing"/>
      <w:lvlText w:val="%1、"/>
      <w:lvlJc w:val="left"/>
    </w:lvl>
  </w:abstractNum>
  <w:abstractNum w:abstractNumId="10">
    <w:nsid w:val="6A7D127D"/>
    <w:multiLevelType w:val="multilevel"/>
    <w:tmpl w:val="6A7D127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7354AEBC"/>
    <w:multiLevelType w:val="singleLevel"/>
    <w:tmpl w:val="7354AEBC"/>
    <w:lvl w:ilvl="0" w:tentative="0">
      <w:start w:val="1"/>
      <w:numFmt w:val="decimal"/>
      <w:suff w:val="nothing"/>
      <w:lvlText w:val="%1、"/>
      <w:lvlJc w:val="left"/>
    </w:lvl>
  </w:abstractNum>
  <w:num w:numId="1">
    <w:abstractNumId w:val="6"/>
  </w:num>
  <w:num w:numId="2">
    <w:abstractNumId w:val="8"/>
  </w:num>
  <w:num w:numId="3">
    <w:abstractNumId w:val="7"/>
  </w:num>
  <w:num w:numId="4">
    <w:abstractNumId w:val="11"/>
  </w:num>
  <w:num w:numId="5">
    <w:abstractNumId w:val="9"/>
  </w:num>
  <w:num w:numId="6">
    <w:abstractNumId w:val="0"/>
  </w:num>
  <w:num w:numId="7">
    <w:abstractNumId w:val="5"/>
  </w:num>
  <w:num w:numId="8">
    <w:abstractNumId w:val="2"/>
  </w:num>
  <w:num w:numId="9">
    <w:abstractNumId w:val="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4NTFjZDUyMjczN2VlYmNmMGM4NjZkOTA5ZTkwNGQifQ=="/>
  </w:docVars>
  <w:rsids>
    <w:rsidRoot w:val="00325832"/>
    <w:rsid w:val="00000D09"/>
    <w:rsid w:val="00001FD1"/>
    <w:rsid w:val="00010DCF"/>
    <w:rsid w:val="00011B73"/>
    <w:rsid w:val="00013068"/>
    <w:rsid w:val="00013701"/>
    <w:rsid w:val="00017C2D"/>
    <w:rsid w:val="00025169"/>
    <w:rsid w:val="000308AC"/>
    <w:rsid w:val="00031855"/>
    <w:rsid w:val="00032015"/>
    <w:rsid w:val="00036A32"/>
    <w:rsid w:val="000403B6"/>
    <w:rsid w:val="0004130F"/>
    <w:rsid w:val="00041768"/>
    <w:rsid w:val="00042FFE"/>
    <w:rsid w:val="00043D00"/>
    <w:rsid w:val="00046460"/>
    <w:rsid w:val="00050365"/>
    <w:rsid w:val="0005430A"/>
    <w:rsid w:val="00055AED"/>
    <w:rsid w:val="00056208"/>
    <w:rsid w:val="0005643C"/>
    <w:rsid w:val="00056EF3"/>
    <w:rsid w:val="000600EE"/>
    <w:rsid w:val="000607D4"/>
    <w:rsid w:val="00064DFE"/>
    <w:rsid w:val="00065BDD"/>
    <w:rsid w:val="000665B8"/>
    <w:rsid w:val="0007081F"/>
    <w:rsid w:val="00072919"/>
    <w:rsid w:val="00074CD4"/>
    <w:rsid w:val="00074F44"/>
    <w:rsid w:val="000756A0"/>
    <w:rsid w:val="00075C85"/>
    <w:rsid w:val="00076BA5"/>
    <w:rsid w:val="000776A1"/>
    <w:rsid w:val="00081D78"/>
    <w:rsid w:val="000826F9"/>
    <w:rsid w:val="00086439"/>
    <w:rsid w:val="00092400"/>
    <w:rsid w:val="00095E32"/>
    <w:rsid w:val="0009614E"/>
    <w:rsid w:val="000A5CEA"/>
    <w:rsid w:val="000A611F"/>
    <w:rsid w:val="000A62E5"/>
    <w:rsid w:val="000A7604"/>
    <w:rsid w:val="000B1CA7"/>
    <w:rsid w:val="000B2975"/>
    <w:rsid w:val="000B4BF2"/>
    <w:rsid w:val="000C215B"/>
    <w:rsid w:val="000C337F"/>
    <w:rsid w:val="000C6CA8"/>
    <w:rsid w:val="000C7A3F"/>
    <w:rsid w:val="000D2569"/>
    <w:rsid w:val="000D26D7"/>
    <w:rsid w:val="000D2F5A"/>
    <w:rsid w:val="000D514E"/>
    <w:rsid w:val="000D5DE9"/>
    <w:rsid w:val="000E50F9"/>
    <w:rsid w:val="000E5380"/>
    <w:rsid w:val="000E6A76"/>
    <w:rsid w:val="000F1202"/>
    <w:rsid w:val="000F1454"/>
    <w:rsid w:val="000F2229"/>
    <w:rsid w:val="000F48D9"/>
    <w:rsid w:val="000F4D4E"/>
    <w:rsid w:val="000F5C82"/>
    <w:rsid w:val="000F628E"/>
    <w:rsid w:val="000F6957"/>
    <w:rsid w:val="001165C6"/>
    <w:rsid w:val="00121CDE"/>
    <w:rsid w:val="00123BF8"/>
    <w:rsid w:val="001256ED"/>
    <w:rsid w:val="0012609D"/>
    <w:rsid w:val="001275B5"/>
    <w:rsid w:val="00130AD2"/>
    <w:rsid w:val="0013242D"/>
    <w:rsid w:val="00136F51"/>
    <w:rsid w:val="001411F4"/>
    <w:rsid w:val="00141664"/>
    <w:rsid w:val="00143B4D"/>
    <w:rsid w:val="0014645C"/>
    <w:rsid w:val="0014712D"/>
    <w:rsid w:val="001524A8"/>
    <w:rsid w:val="00155128"/>
    <w:rsid w:val="00161A8E"/>
    <w:rsid w:val="00164BB0"/>
    <w:rsid w:val="001659F0"/>
    <w:rsid w:val="001704C8"/>
    <w:rsid w:val="001707F2"/>
    <w:rsid w:val="00173561"/>
    <w:rsid w:val="00175E40"/>
    <w:rsid w:val="00180557"/>
    <w:rsid w:val="00181ED5"/>
    <w:rsid w:val="001834DA"/>
    <w:rsid w:val="001837F4"/>
    <w:rsid w:val="00183A78"/>
    <w:rsid w:val="00185D85"/>
    <w:rsid w:val="00193A10"/>
    <w:rsid w:val="00193BCD"/>
    <w:rsid w:val="0019431D"/>
    <w:rsid w:val="00194608"/>
    <w:rsid w:val="00194FBC"/>
    <w:rsid w:val="00196A86"/>
    <w:rsid w:val="00196D6B"/>
    <w:rsid w:val="00196E07"/>
    <w:rsid w:val="001A142F"/>
    <w:rsid w:val="001A2919"/>
    <w:rsid w:val="001A381B"/>
    <w:rsid w:val="001A3DE3"/>
    <w:rsid w:val="001A46F9"/>
    <w:rsid w:val="001B004B"/>
    <w:rsid w:val="001B4423"/>
    <w:rsid w:val="001B5BEA"/>
    <w:rsid w:val="001B78FF"/>
    <w:rsid w:val="001C0E64"/>
    <w:rsid w:val="001C1981"/>
    <w:rsid w:val="001C50CC"/>
    <w:rsid w:val="001C5A9D"/>
    <w:rsid w:val="001D0A3B"/>
    <w:rsid w:val="001D1850"/>
    <w:rsid w:val="001D1AB9"/>
    <w:rsid w:val="001D3AC9"/>
    <w:rsid w:val="001D4FB9"/>
    <w:rsid w:val="001E0494"/>
    <w:rsid w:val="001E3CB7"/>
    <w:rsid w:val="001F2B50"/>
    <w:rsid w:val="001F345B"/>
    <w:rsid w:val="001F4AD6"/>
    <w:rsid w:val="001F65EF"/>
    <w:rsid w:val="001F6DCF"/>
    <w:rsid w:val="002027E3"/>
    <w:rsid w:val="00206328"/>
    <w:rsid w:val="00210FF6"/>
    <w:rsid w:val="002113A2"/>
    <w:rsid w:val="00212E26"/>
    <w:rsid w:val="00214D65"/>
    <w:rsid w:val="0021638D"/>
    <w:rsid w:val="00220883"/>
    <w:rsid w:val="002222B5"/>
    <w:rsid w:val="00226386"/>
    <w:rsid w:val="00230077"/>
    <w:rsid w:val="002320BD"/>
    <w:rsid w:val="00233239"/>
    <w:rsid w:val="00243038"/>
    <w:rsid w:val="00243DC1"/>
    <w:rsid w:val="00244482"/>
    <w:rsid w:val="0024790F"/>
    <w:rsid w:val="00247A26"/>
    <w:rsid w:val="00250531"/>
    <w:rsid w:val="00251ED7"/>
    <w:rsid w:val="00253145"/>
    <w:rsid w:val="00256A4A"/>
    <w:rsid w:val="00256FF5"/>
    <w:rsid w:val="002575F6"/>
    <w:rsid w:val="00261C83"/>
    <w:rsid w:val="00262C8B"/>
    <w:rsid w:val="00264E8A"/>
    <w:rsid w:val="00265B2C"/>
    <w:rsid w:val="00266956"/>
    <w:rsid w:val="00266AAA"/>
    <w:rsid w:val="00270ADE"/>
    <w:rsid w:val="00271399"/>
    <w:rsid w:val="00274CF5"/>
    <w:rsid w:val="00275C48"/>
    <w:rsid w:val="00277AEF"/>
    <w:rsid w:val="002804EC"/>
    <w:rsid w:val="00280C49"/>
    <w:rsid w:val="00292BE5"/>
    <w:rsid w:val="00293728"/>
    <w:rsid w:val="00293B4A"/>
    <w:rsid w:val="002948B5"/>
    <w:rsid w:val="00294986"/>
    <w:rsid w:val="00294EAF"/>
    <w:rsid w:val="00295416"/>
    <w:rsid w:val="00295883"/>
    <w:rsid w:val="0029610C"/>
    <w:rsid w:val="00297A1D"/>
    <w:rsid w:val="00297EAE"/>
    <w:rsid w:val="002A4B3C"/>
    <w:rsid w:val="002A5E55"/>
    <w:rsid w:val="002B3BB4"/>
    <w:rsid w:val="002B3BFC"/>
    <w:rsid w:val="002B538F"/>
    <w:rsid w:val="002C05E5"/>
    <w:rsid w:val="002C696D"/>
    <w:rsid w:val="002D09CD"/>
    <w:rsid w:val="002D16BC"/>
    <w:rsid w:val="002D17E4"/>
    <w:rsid w:val="002D1D64"/>
    <w:rsid w:val="002D5B4E"/>
    <w:rsid w:val="002E1053"/>
    <w:rsid w:val="002E4551"/>
    <w:rsid w:val="002E5FEB"/>
    <w:rsid w:val="002F08C2"/>
    <w:rsid w:val="002F1119"/>
    <w:rsid w:val="002F245E"/>
    <w:rsid w:val="002F4792"/>
    <w:rsid w:val="003036EA"/>
    <w:rsid w:val="0031086D"/>
    <w:rsid w:val="00313073"/>
    <w:rsid w:val="0031461A"/>
    <w:rsid w:val="003159EF"/>
    <w:rsid w:val="00320416"/>
    <w:rsid w:val="00321DA5"/>
    <w:rsid w:val="00322EA4"/>
    <w:rsid w:val="00325832"/>
    <w:rsid w:val="00330920"/>
    <w:rsid w:val="0033138A"/>
    <w:rsid w:val="0033202D"/>
    <w:rsid w:val="00332D11"/>
    <w:rsid w:val="00337BAE"/>
    <w:rsid w:val="003432DC"/>
    <w:rsid w:val="00343671"/>
    <w:rsid w:val="00343849"/>
    <w:rsid w:val="00345537"/>
    <w:rsid w:val="003473CD"/>
    <w:rsid w:val="0035071C"/>
    <w:rsid w:val="0035257E"/>
    <w:rsid w:val="0035418A"/>
    <w:rsid w:val="00355EEA"/>
    <w:rsid w:val="003562E3"/>
    <w:rsid w:val="00357DCC"/>
    <w:rsid w:val="00360AE7"/>
    <w:rsid w:val="00364265"/>
    <w:rsid w:val="00367868"/>
    <w:rsid w:val="0037085F"/>
    <w:rsid w:val="0037110D"/>
    <w:rsid w:val="00373C07"/>
    <w:rsid w:val="00374D2C"/>
    <w:rsid w:val="00377781"/>
    <w:rsid w:val="00381EC7"/>
    <w:rsid w:val="003839AE"/>
    <w:rsid w:val="00383A58"/>
    <w:rsid w:val="003918BD"/>
    <w:rsid w:val="00391EFC"/>
    <w:rsid w:val="00391FD0"/>
    <w:rsid w:val="0039235B"/>
    <w:rsid w:val="003926CA"/>
    <w:rsid w:val="00394B36"/>
    <w:rsid w:val="00395727"/>
    <w:rsid w:val="003A4B1D"/>
    <w:rsid w:val="003A618F"/>
    <w:rsid w:val="003A6B3F"/>
    <w:rsid w:val="003A7FEB"/>
    <w:rsid w:val="003B6105"/>
    <w:rsid w:val="003B6D2D"/>
    <w:rsid w:val="003B78E0"/>
    <w:rsid w:val="003C71A3"/>
    <w:rsid w:val="003C7A89"/>
    <w:rsid w:val="003D2EF8"/>
    <w:rsid w:val="003D6C7A"/>
    <w:rsid w:val="003E2404"/>
    <w:rsid w:val="003E2BBE"/>
    <w:rsid w:val="003E4B1B"/>
    <w:rsid w:val="003E5355"/>
    <w:rsid w:val="003E5E39"/>
    <w:rsid w:val="003E693D"/>
    <w:rsid w:val="003E6E8F"/>
    <w:rsid w:val="003E71CA"/>
    <w:rsid w:val="003F2819"/>
    <w:rsid w:val="003F2D05"/>
    <w:rsid w:val="003F3222"/>
    <w:rsid w:val="003F68DF"/>
    <w:rsid w:val="003F6B18"/>
    <w:rsid w:val="003F7025"/>
    <w:rsid w:val="0040134A"/>
    <w:rsid w:val="00402BE6"/>
    <w:rsid w:val="0040553A"/>
    <w:rsid w:val="004055D4"/>
    <w:rsid w:val="0040569C"/>
    <w:rsid w:val="00410A95"/>
    <w:rsid w:val="00411416"/>
    <w:rsid w:val="00412894"/>
    <w:rsid w:val="00413972"/>
    <w:rsid w:val="004153D6"/>
    <w:rsid w:val="00415D1E"/>
    <w:rsid w:val="00415D39"/>
    <w:rsid w:val="00416AFE"/>
    <w:rsid w:val="004176FC"/>
    <w:rsid w:val="00421F27"/>
    <w:rsid w:val="00424D37"/>
    <w:rsid w:val="00424F07"/>
    <w:rsid w:val="004267C9"/>
    <w:rsid w:val="00427F8D"/>
    <w:rsid w:val="00431536"/>
    <w:rsid w:val="004316F0"/>
    <w:rsid w:val="00431C42"/>
    <w:rsid w:val="00432C99"/>
    <w:rsid w:val="004331D3"/>
    <w:rsid w:val="004377AC"/>
    <w:rsid w:val="00437DB0"/>
    <w:rsid w:val="004424FE"/>
    <w:rsid w:val="00443B6E"/>
    <w:rsid w:val="00443C74"/>
    <w:rsid w:val="00445313"/>
    <w:rsid w:val="00446120"/>
    <w:rsid w:val="004519C8"/>
    <w:rsid w:val="00452549"/>
    <w:rsid w:val="00454160"/>
    <w:rsid w:val="004559D5"/>
    <w:rsid w:val="00455F7E"/>
    <w:rsid w:val="00457B84"/>
    <w:rsid w:val="00460809"/>
    <w:rsid w:val="00461A5D"/>
    <w:rsid w:val="00461D27"/>
    <w:rsid w:val="00461EA7"/>
    <w:rsid w:val="00465579"/>
    <w:rsid w:val="00467BBC"/>
    <w:rsid w:val="00471E0D"/>
    <w:rsid w:val="00472C82"/>
    <w:rsid w:val="0047346A"/>
    <w:rsid w:val="004740E4"/>
    <w:rsid w:val="00474B10"/>
    <w:rsid w:val="00477765"/>
    <w:rsid w:val="00480486"/>
    <w:rsid w:val="00480BCD"/>
    <w:rsid w:val="004826E0"/>
    <w:rsid w:val="004833B1"/>
    <w:rsid w:val="0049582B"/>
    <w:rsid w:val="00495ECD"/>
    <w:rsid w:val="004A0F57"/>
    <w:rsid w:val="004A18BA"/>
    <w:rsid w:val="004A1E95"/>
    <w:rsid w:val="004A3709"/>
    <w:rsid w:val="004A3B65"/>
    <w:rsid w:val="004A4E98"/>
    <w:rsid w:val="004A7516"/>
    <w:rsid w:val="004A7F72"/>
    <w:rsid w:val="004B1FC0"/>
    <w:rsid w:val="004B2DBB"/>
    <w:rsid w:val="004B3F84"/>
    <w:rsid w:val="004B725D"/>
    <w:rsid w:val="004D5F22"/>
    <w:rsid w:val="004D6293"/>
    <w:rsid w:val="004D6546"/>
    <w:rsid w:val="004E0B40"/>
    <w:rsid w:val="004E38E3"/>
    <w:rsid w:val="004F038D"/>
    <w:rsid w:val="004F55DE"/>
    <w:rsid w:val="004F7B5C"/>
    <w:rsid w:val="00500B27"/>
    <w:rsid w:val="00502349"/>
    <w:rsid w:val="00502D44"/>
    <w:rsid w:val="00502E08"/>
    <w:rsid w:val="00506C8E"/>
    <w:rsid w:val="00506CD1"/>
    <w:rsid w:val="005131C3"/>
    <w:rsid w:val="00513A4E"/>
    <w:rsid w:val="00516184"/>
    <w:rsid w:val="005201BE"/>
    <w:rsid w:val="00524604"/>
    <w:rsid w:val="00525EE9"/>
    <w:rsid w:val="005273C9"/>
    <w:rsid w:val="0053021A"/>
    <w:rsid w:val="00530D50"/>
    <w:rsid w:val="005329BE"/>
    <w:rsid w:val="005334B4"/>
    <w:rsid w:val="005349D4"/>
    <w:rsid w:val="00537D63"/>
    <w:rsid w:val="005407BF"/>
    <w:rsid w:val="00542508"/>
    <w:rsid w:val="00544107"/>
    <w:rsid w:val="005449BE"/>
    <w:rsid w:val="0054787E"/>
    <w:rsid w:val="005506C7"/>
    <w:rsid w:val="005506CE"/>
    <w:rsid w:val="0055079B"/>
    <w:rsid w:val="00550B2F"/>
    <w:rsid w:val="00554B02"/>
    <w:rsid w:val="00555DDD"/>
    <w:rsid w:val="00556978"/>
    <w:rsid w:val="0055739D"/>
    <w:rsid w:val="0056011E"/>
    <w:rsid w:val="005625D8"/>
    <w:rsid w:val="0056453E"/>
    <w:rsid w:val="0056708D"/>
    <w:rsid w:val="00570D6F"/>
    <w:rsid w:val="0057120E"/>
    <w:rsid w:val="005718A8"/>
    <w:rsid w:val="00572118"/>
    <w:rsid w:val="00572E0A"/>
    <w:rsid w:val="005737C6"/>
    <w:rsid w:val="00575DF4"/>
    <w:rsid w:val="00580546"/>
    <w:rsid w:val="005842A0"/>
    <w:rsid w:val="0058472E"/>
    <w:rsid w:val="00584D37"/>
    <w:rsid w:val="00585C39"/>
    <w:rsid w:val="0059473B"/>
    <w:rsid w:val="005953CA"/>
    <w:rsid w:val="005960BA"/>
    <w:rsid w:val="005A6731"/>
    <w:rsid w:val="005B29B3"/>
    <w:rsid w:val="005B352D"/>
    <w:rsid w:val="005B631B"/>
    <w:rsid w:val="005B6420"/>
    <w:rsid w:val="005C01CC"/>
    <w:rsid w:val="005C3319"/>
    <w:rsid w:val="005C463B"/>
    <w:rsid w:val="005C5EB1"/>
    <w:rsid w:val="005D1B17"/>
    <w:rsid w:val="005D3683"/>
    <w:rsid w:val="005D3AB2"/>
    <w:rsid w:val="005D792B"/>
    <w:rsid w:val="005E2966"/>
    <w:rsid w:val="005E6149"/>
    <w:rsid w:val="005E7FF4"/>
    <w:rsid w:val="005F023D"/>
    <w:rsid w:val="005F09CC"/>
    <w:rsid w:val="005F0C06"/>
    <w:rsid w:val="005F2890"/>
    <w:rsid w:val="005F297C"/>
    <w:rsid w:val="005F3EB2"/>
    <w:rsid w:val="006001B2"/>
    <w:rsid w:val="006014DA"/>
    <w:rsid w:val="00601B60"/>
    <w:rsid w:val="006038D0"/>
    <w:rsid w:val="00611A86"/>
    <w:rsid w:val="00612BD3"/>
    <w:rsid w:val="00616B13"/>
    <w:rsid w:val="00620130"/>
    <w:rsid w:val="00622893"/>
    <w:rsid w:val="00625361"/>
    <w:rsid w:val="0062548D"/>
    <w:rsid w:val="00626198"/>
    <w:rsid w:val="00626705"/>
    <w:rsid w:val="006308ED"/>
    <w:rsid w:val="00630B07"/>
    <w:rsid w:val="00630B2B"/>
    <w:rsid w:val="00631029"/>
    <w:rsid w:val="00632268"/>
    <w:rsid w:val="00633921"/>
    <w:rsid w:val="00634213"/>
    <w:rsid w:val="00635DAE"/>
    <w:rsid w:val="00637E05"/>
    <w:rsid w:val="00641801"/>
    <w:rsid w:val="006478CA"/>
    <w:rsid w:val="00651D8A"/>
    <w:rsid w:val="00665F3D"/>
    <w:rsid w:val="00670BE5"/>
    <w:rsid w:val="006741E5"/>
    <w:rsid w:val="006802EF"/>
    <w:rsid w:val="00685987"/>
    <w:rsid w:val="00692004"/>
    <w:rsid w:val="006970F6"/>
    <w:rsid w:val="006A1C8A"/>
    <w:rsid w:val="006A2D23"/>
    <w:rsid w:val="006A4023"/>
    <w:rsid w:val="006A437D"/>
    <w:rsid w:val="006A4BDB"/>
    <w:rsid w:val="006A5D28"/>
    <w:rsid w:val="006A6F51"/>
    <w:rsid w:val="006A75E7"/>
    <w:rsid w:val="006B0EC3"/>
    <w:rsid w:val="006B52A7"/>
    <w:rsid w:val="006C030A"/>
    <w:rsid w:val="006C0461"/>
    <w:rsid w:val="006C1F47"/>
    <w:rsid w:val="006C23C2"/>
    <w:rsid w:val="006C59A5"/>
    <w:rsid w:val="006C7FB3"/>
    <w:rsid w:val="006D1D31"/>
    <w:rsid w:val="006E0CD2"/>
    <w:rsid w:val="006E1997"/>
    <w:rsid w:val="006E2EB7"/>
    <w:rsid w:val="006E75FD"/>
    <w:rsid w:val="006E76A5"/>
    <w:rsid w:val="006F0645"/>
    <w:rsid w:val="006F1700"/>
    <w:rsid w:val="006F239F"/>
    <w:rsid w:val="006F551D"/>
    <w:rsid w:val="0070070A"/>
    <w:rsid w:val="007114A5"/>
    <w:rsid w:val="0071193F"/>
    <w:rsid w:val="00723310"/>
    <w:rsid w:val="007236BA"/>
    <w:rsid w:val="007238DD"/>
    <w:rsid w:val="00723D02"/>
    <w:rsid w:val="00723D84"/>
    <w:rsid w:val="00723EDE"/>
    <w:rsid w:val="00724717"/>
    <w:rsid w:val="0072660C"/>
    <w:rsid w:val="00727CF8"/>
    <w:rsid w:val="00730404"/>
    <w:rsid w:val="00731AB7"/>
    <w:rsid w:val="007362B5"/>
    <w:rsid w:val="00736A79"/>
    <w:rsid w:val="0074180F"/>
    <w:rsid w:val="0074368B"/>
    <w:rsid w:val="007446DE"/>
    <w:rsid w:val="00746019"/>
    <w:rsid w:val="00746D3F"/>
    <w:rsid w:val="00747A85"/>
    <w:rsid w:val="00750AB2"/>
    <w:rsid w:val="00751361"/>
    <w:rsid w:val="00752847"/>
    <w:rsid w:val="007531C9"/>
    <w:rsid w:val="007532A0"/>
    <w:rsid w:val="00755358"/>
    <w:rsid w:val="007558DB"/>
    <w:rsid w:val="00755AB9"/>
    <w:rsid w:val="00757FB9"/>
    <w:rsid w:val="00760746"/>
    <w:rsid w:val="00766299"/>
    <w:rsid w:val="00766870"/>
    <w:rsid w:val="00767923"/>
    <w:rsid w:val="007702C7"/>
    <w:rsid w:val="007737A3"/>
    <w:rsid w:val="007738A0"/>
    <w:rsid w:val="00774ACC"/>
    <w:rsid w:val="0077606A"/>
    <w:rsid w:val="0078146D"/>
    <w:rsid w:val="00781801"/>
    <w:rsid w:val="00784C33"/>
    <w:rsid w:val="00791AC3"/>
    <w:rsid w:val="0079363C"/>
    <w:rsid w:val="00793B6E"/>
    <w:rsid w:val="007961F7"/>
    <w:rsid w:val="0079785B"/>
    <w:rsid w:val="007A0EF7"/>
    <w:rsid w:val="007A1581"/>
    <w:rsid w:val="007A4BB5"/>
    <w:rsid w:val="007A4FB6"/>
    <w:rsid w:val="007A5AEB"/>
    <w:rsid w:val="007A6AA6"/>
    <w:rsid w:val="007A6B97"/>
    <w:rsid w:val="007B1550"/>
    <w:rsid w:val="007B1B3A"/>
    <w:rsid w:val="007B4E82"/>
    <w:rsid w:val="007B5D7F"/>
    <w:rsid w:val="007B7C1E"/>
    <w:rsid w:val="007C1D1B"/>
    <w:rsid w:val="007D4A09"/>
    <w:rsid w:val="007D5173"/>
    <w:rsid w:val="007D6EC1"/>
    <w:rsid w:val="007E3CC8"/>
    <w:rsid w:val="007E4810"/>
    <w:rsid w:val="007E4CD6"/>
    <w:rsid w:val="007E73D8"/>
    <w:rsid w:val="007F1F0C"/>
    <w:rsid w:val="007F5589"/>
    <w:rsid w:val="007F55DE"/>
    <w:rsid w:val="007F79A8"/>
    <w:rsid w:val="008005A8"/>
    <w:rsid w:val="00800682"/>
    <w:rsid w:val="00801560"/>
    <w:rsid w:val="00802CE5"/>
    <w:rsid w:val="00805098"/>
    <w:rsid w:val="00807A77"/>
    <w:rsid w:val="00811779"/>
    <w:rsid w:val="008143BE"/>
    <w:rsid w:val="00814C9A"/>
    <w:rsid w:val="0081797B"/>
    <w:rsid w:val="00822DBD"/>
    <w:rsid w:val="00825475"/>
    <w:rsid w:val="008259FC"/>
    <w:rsid w:val="00825DBE"/>
    <w:rsid w:val="00832534"/>
    <w:rsid w:val="00834EDE"/>
    <w:rsid w:val="00837228"/>
    <w:rsid w:val="00841608"/>
    <w:rsid w:val="00841730"/>
    <w:rsid w:val="008444AE"/>
    <w:rsid w:val="008465BF"/>
    <w:rsid w:val="008470D8"/>
    <w:rsid w:val="00847476"/>
    <w:rsid w:val="00851390"/>
    <w:rsid w:val="008527D8"/>
    <w:rsid w:val="00852DD8"/>
    <w:rsid w:val="00852EBB"/>
    <w:rsid w:val="0085585F"/>
    <w:rsid w:val="00855FFB"/>
    <w:rsid w:val="00856C7F"/>
    <w:rsid w:val="00861293"/>
    <w:rsid w:val="00863C1E"/>
    <w:rsid w:val="0086630A"/>
    <w:rsid w:val="00872A7C"/>
    <w:rsid w:val="00874016"/>
    <w:rsid w:val="008777C3"/>
    <w:rsid w:val="00880D8F"/>
    <w:rsid w:val="00883479"/>
    <w:rsid w:val="00885DD4"/>
    <w:rsid w:val="00886809"/>
    <w:rsid w:val="0088750D"/>
    <w:rsid w:val="008879C5"/>
    <w:rsid w:val="00890051"/>
    <w:rsid w:val="00890E84"/>
    <w:rsid w:val="0089306D"/>
    <w:rsid w:val="008951B3"/>
    <w:rsid w:val="00895914"/>
    <w:rsid w:val="008A0DF1"/>
    <w:rsid w:val="008A1BBB"/>
    <w:rsid w:val="008A1E8A"/>
    <w:rsid w:val="008A3673"/>
    <w:rsid w:val="008A64B8"/>
    <w:rsid w:val="008B202B"/>
    <w:rsid w:val="008B3001"/>
    <w:rsid w:val="008B3CFE"/>
    <w:rsid w:val="008B5DBC"/>
    <w:rsid w:val="008C3C92"/>
    <w:rsid w:val="008C4E8A"/>
    <w:rsid w:val="008C73D5"/>
    <w:rsid w:val="008D1AF0"/>
    <w:rsid w:val="008D394D"/>
    <w:rsid w:val="008D4422"/>
    <w:rsid w:val="008D640B"/>
    <w:rsid w:val="008D6CED"/>
    <w:rsid w:val="008E3C04"/>
    <w:rsid w:val="008E56E2"/>
    <w:rsid w:val="008E57F5"/>
    <w:rsid w:val="008F33AB"/>
    <w:rsid w:val="008F35A8"/>
    <w:rsid w:val="009016E3"/>
    <w:rsid w:val="0090766A"/>
    <w:rsid w:val="00907748"/>
    <w:rsid w:val="00911867"/>
    <w:rsid w:val="009125B6"/>
    <w:rsid w:val="00913750"/>
    <w:rsid w:val="00913815"/>
    <w:rsid w:val="00913F09"/>
    <w:rsid w:val="00916BFD"/>
    <w:rsid w:val="00917496"/>
    <w:rsid w:val="009208FE"/>
    <w:rsid w:val="0092151E"/>
    <w:rsid w:val="00924617"/>
    <w:rsid w:val="0092600D"/>
    <w:rsid w:val="00932AD3"/>
    <w:rsid w:val="00933823"/>
    <w:rsid w:val="00933C6F"/>
    <w:rsid w:val="00936298"/>
    <w:rsid w:val="0093630E"/>
    <w:rsid w:val="00936E99"/>
    <w:rsid w:val="0094212E"/>
    <w:rsid w:val="0094458A"/>
    <w:rsid w:val="0094466C"/>
    <w:rsid w:val="00947EC9"/>
    <w:rsid w:val="00951A8D"/>
    <w:rsid w:val="0095279C"/>
    <w:rsid w:val="009533CE"/>
    <w:rsid w:val="00954547"/>
    <w:rsid w:val="00955B43"/>
    <w:rsid w:val="0095612C"/>
    <w:rsid w:val="00960991"/>
    <w:rsid w:val="00962A82"/>
    <w:rsid w:val="009662F0"/>
    <w:rsid w:val="00967BE2"/>
    <w:rsid w:val="00973A6A"/>
    <w:rsid w:val="00974B43"/>
    <w:rsid w:val="00977FB6"/>
    <w:rsid w:val="009809F0"/>
    <w:rsid w:val="009820A2"/>
    <w:rsid w:val="009829B0"/>
    <w:rsid w:val="00982E3B"/>
    <w:rsid w:val="00984AB0"/>
    <w:rsid w:val="0098544D"/>
    <w:rsid w:val="00987484"/>
    <w:rsid w:val="00987F71"/>
    <w:rsid w:val="009908ED"/>
    <w:rsid w:val="00994074"/>
    <w:rsid w:val="00994D53"/>
    <w:rsid w:val="0099688A"/>
    <w:rsid w:val="009A02C9"/>
    <w:rsid w:val="009A0D32"/>
    <w:rsid w:val="009A26E4"/>
    <w:rsid w:val="009A3371"/>
    <w:rsid w:val="009A3F39"/>
    <w:rsid w:val="009A418D"/>
    <w:rsid w:val="009A4641"/>
    <w:rsid w:val="009A5F5B"/>
    <w:rsid w:val="009A70B1"/>
    <w:rsid w:val="009A7596"/>
    <w:rsid w:val="009B477B"/>
    <w:rsid w:val="009B50B5"/>
    <w:rsid w:val="009C0EA3"/>
    <w:rsid w:val="009C69C7"/>
    <w:rsid w:val="009D1724"/>
    <w:rsid w:val="009D187B"/>
    <w:rsid w:val="009D1E28"/>
    <w:rsid w:val="009D2385"/>
    <w:rsid w:val="009D24A0"/>
    <w:rsid w:val="009D40CD"/>
    <w:rsid w:val="009D546C"/>
    <w:rsid w:val="009D5C8E"/>
    <w:rsid w:val="009D7786"/>
    <w:rsid w:val="009E0499"/>
    <w:rsid w:val="009E105F"/>
    <w:rsid w:val="009E2558"/>
    <w:rsid w:val="009E3B6B"/>
    <w:rsid w:val="009E44DC"/>
    <w:rsid w:val="009E7D35"/>
    <w:rsid w:val="009F2269"/>
    <w:rsid w:val="009F3382"/>
    <w:rsid w:val="009F598A"/>
    <w:rsid w:val="009F5AC3"/>
    <w:rsid w:val="009F60C9"/>
    <w:rsid w:val="00A002FE"/>
    <w:rsid w:val="00A02228"/>
    <w:rsid w:val="00A03C90"/>
    <w:rsid w:val="00A03EDD"/>
    <w:rsid w:val="00A071FC"/>
    <w:rsid w:val="00A07548"/>
    <w:rsid w:val="00A10012"/>
    <w:rsid w:val="00A11FFD"/>
    <w:rsid w:val="00A12C8D"/>
    <w:rsid w:val="00A148A6"/>
    <w:rsid w:val="00A2223B"/>
    <w:rsid w:val="00A24847"/>
    <w:rsid w:val="00A252F0"/>
    <w:rsid w:val="00A264A9"/>
    <w:rsid w:val="00A26C90"/>
    <w:rsid w:val="00A3249C"/>
    <w:rsid w:val="00A3561D"/>
    <w:rsid w:val="00A35BC5"/>
    <w:rsid w:val="00A43224"/>
    <w:rsid w:val="00A440E2"/>
    <w:rsid w:val="00A45815"/>
    <w:rsid w:val="00A5132F"/>
    <w:rsid w:val="00A5241A"/>
    <w:rsid w:val="00A53C66"/>
    <w:rsid w:val="00A5568D"/>
    <w:rsid w:val="00A55CB3"/>
    <w:rsid w:val="00A57696"/>
    <w:rsid w:val="00A60795"/>
    <w:rsid w:val="00A60AF2"/>
    <w:rsid w:val="00A62455"/>
    <w:rsid w:val="00A63263"/>
    <w:rsid w:val="00A64F8F"/>
    <w:rsid w:val="00A6766F"/>
    <w:rsid w:val="00A711EB"/>
    <w:rsid w:val="00A76CE5"/>
    <w:rsid w:val="00A77E05"/>
    <w:rsid w:val="00A8009D"/>
    <w:rsid w:val="00A80AAB"/>
    <w:rsid w:val="00A90C1C"/>
    <w:rsid w:val="00A90E13"/>
    <w:rsid w:val="00A92667"/>
    <w:rsid w:val="00A92A1A"/>
    <w:rsid w:val="00A936E7"/>
    <w:rsid w:val="00A9562A"/>
    <w:rsid w:val="00A97408"/>
    <w:rsid w:val="00A97998"/>
    <w:rsid w:val="00A979D9"/>
    <w:rsid w:val="00AA0F99"/>
    <w:rsid w:val="00AA0FDA"/>
    <w:rsid w:val="00AA2CF3"/>
    <w:rsid w:val="00AA3118"/>
    <w:rsid w:val="00AA5B1F"/>
    <w:rsid w:val="00AA5EF3"/>
    <w:rsid w:val="00AA6B88"/>
    <w:rsid w:val="00AA772B"/>
    <w:rsid w:val="00AB0F96"/>
    <w:rsid w:val="00AB1AAB"/>
    <w:rsid w:val="00AB1AB2"/>
    <w:rsid w:val="00AB23EA"/>
    <w:rsid w:val="00AB3970"/>
    <w:rsid w:val="00AB472B"/>
    <w:rsid w:val="00AC04F7"/>
    <w:rsid w:val="00AC0B2F"/>
    <w:rsid w:val="00AC130F"/>
    <w:rsid w:val="00AC6628"/>
    <w:rsid w:val="00AC7CD8"/>
    <w:rsid w:val="00AD02BF"/>
    <w:rsid w:val="00AD4123"/>
    <w:rsid w:val="00AE01BB"/>
    <w:rsid w:val="00AE15EA"/>
    <w:rsid w:val="00AE1773"/>
    <w:rsid w:val="00AE2ECF"/>
    <w:rsid w:val="00AE4505"/>
    <w:rsid w:val="00AE5C1F"/>
    <w:rsid w:val="00AF06D9"/>
    <w:rsid w:val="00AF3DA6"/>
    <w:rsid w:val="00AF4C34"/>
    <w:rsid w:val="00AF5013"/>
    <w:rsid w:val="00AF6067"/>
    <w:rsid w:val="00B012DE"/>
    <w:rsid w:val="00B05458"/>
    <w:rsid w:val="00B07152"/>
    <w:rsid w:val="00B12B98"/>
    <w:rsid w:val="00B1328E"/>
    <w:rsid w:val="00B13707"/>
    <w:rsid w:val="00B13CD0"/>
    <w:rsid w:val="00B208E4"/>
    <w:rsid w:val="00B21460"/>
    <w:rsid w:val="00B2233E"/>
    <w:rsid w:val="00B2484D"/>
    <w:rsid w:val="00B24A31"/>
    <w:rsid w:val="00B25107"/>
    <w:rsid w:val="00B31F81"/>
    <w:rsid w:val="00B32A76"/>
    <w:rsid w:val="00B32C88"/>
    <w:rsid w:val="00B331B2"/>
    <w:rsid w:val="00B37FB0"/>
    <w:rsid w:val="00B4237D"/>
    <w:rsid w:val="00B42656"/>
    <w:rsid w:val="00B443B4"/>
    <w:rsid w:val="00B45888"/>
    <w:rsid w:val="00B45B15"/>
    <w:rsid w:val="00B469D4"/>
    <w:rsid w:val="00B51D96"/>
    <w:rsid w:val="00B53BAF"/>
    <w:rsid w:val="00B53BD7"/>
    <w:rsid w:val="00B55825"/>
    <w:rsid w:val="00B558D2"/>
    <w:rsid w:val="00B56096"/>
    <w:rsid w:val="00B626E7"/>
    <w:rsid w:val="00B6637D"/>
    <w:rsid w:val="00B666EF"/>
    <w:rsid w:val="00B671A0"/>
    <w:rsid w:val="00B672EC"/>
    <w:rsid w:val="00B7176B"/>
    <w:rsid w:val="00B728F9"/>
    <w:rsid w:val="00B74D6F"/>
    <w:rsid w:val="00B75793"/>
    <w:rsid w:val="00B7766F"/>
    <w:rsid w:val="00B8141F"/>
    <w:rsid w:val="00B84566"/>
    <w:rsid w:val="00B85D52"/>
    <w:rsid w:val="00B86890"/>
    <w:rsid w:val="00B91501"/>
    <w:rsid w:val="00B92D7E"/>
    <w:rsid w:val="00BA2B57"/>
    <w:rsid w:val="00BA33E7"/>
    <w:rsid w:val="00BA48C0"/>
    <w:rsid w:val="00BA4E83"/>
    <w:rsid w:val="00BB091B"/>
    <w:rsid w:val="00BB21E1"/>
    <w:rsid w:val="00BB54F5"/>
    <w:rsid w:val="00BC05DC"/>
    <w:rsid w:val="00BC5201"/>
    <w:rsid w:val="00BC5D73"/>
    <w:rsid w:val="00BC6742"/>
    <w:rsid w:val="00BC678B"/>
    <w:rsid w:val="00BC74D7"/>
    <w:rsid w:val="00BC78CE"/>
    <w:rsid w:val="00BD0D1D"/>
    <w:rsid w:val="00BD0EA1"/>
    <w:rsid w:val="00BD11D6"/>
    <w:rsid w:val="00BD5A2E"/>
    <w:rsid w:val="00BD751A"/>
    <w:rsid w:val="00BE20B2"/>
    <w:rsid w:val="00BE3520"/>
    <w:rsid w:val="00BE4FFC"/>
    <w:rsid w:val="00BF1387"/>
    <w:rsid w:val="00BF27F1"/>
    <w:rsid w:val="00BF3297"/>
    <w:rsid w:val="00BF3B42"/>
    <w:rsid w:val="00BF402E"/>
    <w:rsid w:val="00BF52E5"/>
    <w:rsid w:val="00C00FE2"/>
    <w:rsid w:val="00C01AD0"/>
    <w:rsid w:val="00C030CD"/>
    <w:rsid w:val="00C0504F"/>
    <w:rsid w:val="00C07280"/>
    <w:rsid w:val="00C0765F"/>
    <w:rsid w:val="00C07C56"/>
    <w:rsid w:val="00C137F2"/>
    <w:rsid w:val="00C1421A"/>
    <w:rsid w:val="00C23A2D"/>
    <w:rsid w:val="00C23D41"/>
    <w:rsid w:val="00C24668"/>
    <w:rsid w:val="00C25308"/>
    <w:rsid w:val="00C258AC"/>
    <w:rsid w:val="00C27942"/>
    <w:rsid w:val="00C337B7"/>
    <w:rsid w:val="00C352E4"/>
    <w:rsid w:val="00C356A9"/>
    <w:rsid w:val="00C37976"/>
    <w:rsid w:val="00C4362D"/>
    <w:rsid w:val="00C44A5C"/>
    <w:rsid w:val="00C4698B"/>
    <w:rsid w:val="00C55371"/>
    <w:rsid w:val="00C553EC"/>
    <w:rsid w:val="00C555A4"/>
    <w:rsid w:val="00C55AB7"/>
    <w:rsid w:val="00C55ACC"/>
    <w:rsid w:val="00C55CFB"/>
    <w:rsid w:val="00C6143B"/>
    <w:rsid w:val="00C637D6"/>
    <w:rsid w:val="00C64598"/>
    <w:rsid w:val="00C6657F"/>
    <w:rsid w:val="00C67013"/>
    <w:rsid w:val="00C720A2"/>
    <w:rsid w:val="00C7230E"/>
    <w:rsid w:val="00C72A5F"/>
    <w:rsid w:val="00C73A2A"/>
    <w:rsid w:val="00C75045"/>
    <w:rsid w:val="00C76254"/>
    <w:rsid w:val="00C8474B"/>
    <w:rsid w:val="00C90170"/>
    <w:rsid w:val="00CA0D71"/>
    <w:rsid w:val="00CA262C"/>
    <w:rsid w:val="00CA3960"/>
    <w:rsid w:val="00CB0677"/>
    <w:rsid w:val="00CB1696"/>
    <w:rsid w:val="00CB7984"/>
    <w:rsid w:val="00CB7CF2"/>
    <w:rsid w:val="00CC2265"/>
    <w:rsid w:val="00CC3575"/>
    <w:rsid w:val="00CC3889"/>
    <w:rsid w:val="00CC3D49"/>
    <w:rsid w:val="00CD0B61"/>
    <w:rsid w:val="00CD214D"/>
    <w:rsid w:val="00CD4977"/>
    <w:rsid w:val="00CD4D29"/>
    <w:rsid w:val="00CD5427"/>
    <w:rsid w:val="00CE143E"/>
    <w:rsid w:val="00CE48BF"/>
    <w:rsid w:val="00CF1AAC"/>
    <w:rsid w:val="00CF31B8"/>
    <w:rsid w:val="00CF3558"/>
    <w:rsid w:val="00CF3D52"/>
    <w:rsid w:val="00CF4653"/>
    <w:rsid w:val="00CF492A"/>
    <w:rsid w:val="00CF4DE8"/>
    <w:rsid w:val="00CF61DA"/>
    <w:rsid w:val="00CF6EAD"/>
    <w:rsid w:val="00D06931"/>
    <w:rsid w:val="00D12CAF"/>
    <w:rsid w:val="00D13280"/>
    <w:rsid w:val="00D2261A"/>
    <w:rsid w:val="00D260FE"/>
    <w:rsid w:val="00D43D4D"/>
    <w:rsid w:val="00D46E33"/>
    <w:rsid w:val="00D57E7B"/>
    <w:rsid w:val="00D616C1"/>
    <w:rsid w:val="00D6393D"/>
    <w:rsid w:val="00D65F9B"/>
    <w:rsid w:val="00D66519"/>
    <w:rsid w:val="00D679E2"/>
    <w:rsid w:val="00D73247"/>
    <w:rsid w:val="00D80BFA"/>
    <w:rsid w:val="00D8458A"/>
    <w:rsid w:val="00D85E94"/>
    <w:rsid w:val="00D86C20"/>
    <w:rsid w:val="00D870CA"/>
    <w:rsid w:val="00D872E5"/>
    <w:rsid w:val="00D873D6"/>
    <w:rsid w:val="00D87A4B"/>
    <w:rsid w:val="00D87A82"/>
    <w:rsid w:val="00D87C73"/>
    <w:rsid w:val="00D87EB2"/>
    <w:rsid w:val="00D909C9"/>
    <w:rsid w:val="00D9345A"/>
    <w:rsid w:val="00D94293"/>
    <w:rsid w:val="00D9463C"/>
    <w:rsid w:val="00D94BC3"/>
    <w:rsid w:val="00D9515A"/>
    <w:rsid w:val="00DA1C99"/>
    <w:rsid w:val="00DA30D4"/>
    <w:rsid w:val="00DA3B07"/>
    <w:rsid w:val="00DA44A4"/>
    <w:rsid w:val="00DA4AE5"/>
    <w:rsid w:val="00DA5924"/>
    <w:rsid w:val="00DB1959"/>
    <w:rsid w:val="00DB32FF"/>
    <w:rsid w:val="00DB3474"/>
    <w:rsid w:val="00DB682A"/>
    <w:rsid w:val="00DB77D4"/>
    <w:rsid w:val="00DC0055"/>
    <w:rsid w:val="00DC1E27"/>
    <w:rsid w:val="00DC5888"/>
    <w:rsid w:val="00DC7431"/>
    <w:rsid w:val="00DD1FB1"/>
    <w:rsid w:val="00DD4A57"/>
    <w:rsid w:val="00DD4D01"/>
    <w:rsid w:val="00DD7985"/>
    <w:rsid w:val="00DE45AA"/>
    <w:rsid w:val="00DE4901"/>
    <w:rsid w:val="00DE4B7F"/>
    <w:rsid w:val="00DE5B26"/>
    <w:rsid w:val="00DE7674"/>
    <w:rsid w:val="00DE78D0"/>
    <w:rsid w:val="00DF03C2"/>
    <w:rsid w:val="00DF12BE"/>
    <w:rsid w:val="00DF2A97"/>
    <w:rsid w:val="00E03E6D"/>
    <w:rsid w:val="00E0438B"/>
    <w:rsid w:val="00E07B01"/>
    <w:rsid w:val="00E12E28"/>
    <w:rsid w:val="00E15D14"/>
    <w:rsid w:val="00E16B78"/>
    <w:rsid w:val="00E20F2B"/>
    <w:rsid w:val="00E227FF"/>
    <w:rsid w:val="00E26969"/>
    <w:rsid w:val="00E269BA"/>
    <w:rsid w:val="00E32404"/>
    <w:rsid w:val="00E32E23"/>
    <w:rsid w:val="00E3578B"/>
    <w:rsid w:val="00E40D53"/>
    <w:rsid w:val="00E41D23"/>
    <w:rsid w:val="00E42874"/>
    <w:rsid w:val="00E455E0"/>
    <w:rsid w:val="00E53369"/>
    <w:rsid w:val="00E575B1"/>
    <w:rsid w:val="00E578C5"/>
    <w:rsid w:val="00E60CAD"/>
    <w:rsid w:val="00E67265"/>
    <w:rsid w:val="00E70592"/>
    <w:rsid w:val="00E716E0"/>
    <w:rsid w:val="00E71BED"/>
    <w:rsid w:val="00E73DC5"/>
    <w:rsid w:val="00E753DF"/>
    <w:rsid w:val="00E77325"/>
    <w:rsid w:val="00E81B33"/>
    <w:rsid w:val="00E81D71"/>
    <w:rsid w:val="00E839EF"/>
    <w:rsid w:val="00E85C37"/>
    <w:rsid w:val="00E902A9"/>
    <w:rsid w:val="00E909E1"/>
    <w:rsid w:val="00E92A1C"/>
    <w:rsid w:val="00E92C60"/>
    <w:rsid w:val="00E940DA"/>
    <w:rsid w:val="00E94513"/>
    <w:rsid w:val="00EA3BA2"/>
    <w:rsid w:val="00EA465C"/>
    <w:rsid w:val="00EA48B8"/>
    <w:rsid w:val="00EA5A55"/>
    <w:rsid w:val="00EA6EC8"/>
    <w:rsid w:val="00EB01B6"/>
    <w:rsid w:val="00EB1F35"/>
    <w:rsid w:val="00EB39C5"/>
    <w:rsid w:val="00EB47D5"/>
    <w:rsid w:val="00EB6C44"/>
    <w:rsid w:val="00EC07CF"/>
    <w:rsid w:val="00EC0FB5"/>
    <w:rsid w:val="00EC29FA"/>
    <w:rsid w:val="00EC2FAA"/>
    <w:rsid w:val="00EC36BA"/>
    <w:rsid w:val="00EC3ACA"/>
    <w:rsid w:val="00EC412A"/>
    <w:rsid w:val="00EC4330"/>
    <w:rsid w:val="00EC6E7D"/>
    <w:rsid w:val="00ED080B"/>
    <w:rsid w:val="00ED0E03"/>
    <w:rsid w:val="00ED19E8"/>
    <w:rsid w:val="00ED33F9"/>
    <w:rsid w:val="00ED3B82"/>
    <w:rsid w:val="00ED3E72"/>
    <w:rsid w:val="00ED4B6D"/>
    <w:rsid w:val="00ED63AE"/>
    <w:rsid w:val="00ED6893"/>
    <w:rsid w:val="00EE564B"/>
    <w:rsid w:val="00EE79D6"/>
    <w:rsid w:val="00EF0D03"/>
    <w:rsid w:val="00EF0E84"/>
    <w:rsid w:val="00EF1230"/>
    <w:rsid w:val="00EF18D1"/>
    <w:rsid w:val="00EF1E47"/>
    <w:rsid w:val="00EF4FE1"/>
    <w:rsid w:val="00EF5154"/>
    <w:rsid w:val="00EF5351"/>
    <w:rsid w:val="00EF7338"/>
    <w:rsid w:val="00F02312"/>
    <w:rsid w:val="00F041C4"/>
    <w:rsid w:val="00F04FF1"/>
    <w:rsid w:val="00F06646"/>
    <w:rsid w:val="00F0691A"/>
    <w:rsid w:val="00F07FF9"/>
    <w:rsid w:val="00F10638"/>
    <w:rsid w:val="00F14E47"/>
    <w:rsid w:val="00F169DB"/>
    <w:rsid w:val="00F16A87"/>
    <w:rsid w:val="00F22201"/>
    <w:rsid w:val="00F238DF"/>
    <w:rsid w:val="00F24726"/>
    <w:rsid w:val="00F25204"/>
    <w:rsid w:val="00F25935"/>
    <w:rsid w:val="00F306C7"/>
    <w:rsid w:val="00F32F05"/>
    <w:rsid w:val="00F33DDF"/>
    <w:rsid w:val="00F34643"/>
    <w:rsid w:val="00F374A1"/>
    <w:rsid w:val="00F40389"/>
    <w:rsid w:val="00F41B8B"/>
    <w:rsid w:val="00F436AA"/>
    <w:rsid w:val="00F43FF6"/>
    <w:rsid w:val="00F50615"/>
    <w:rsid w:val="00F51AD2"/>
    <w:rsid w:val="00F52BF4"/>
    <w:rsid w:val="00F57097"/>
    <w:rsid w:val="00F61CAD"/>
    <w:rsid w:val="00F66DD2"/>
    <w:rsid w:val="00F67C9D"/>
    <w:rsid w:val="00F70820"/>
    <w:rsid w:val="00F733C4"/>
    <w:rsid w:val="00F77C2B"/>
    <w:rsid w:val="00F86DB5"/>
    <w:rsid w:val="00F86E3C"/>
    <w:rsid w:val="00F86E7B"/>
    <w:rsid w:val="00F90C67"/>
    <w:rsid w:val="00F9117A"/>
    <w:rsid w:val="00F92891"/>
    <w:rsid w:val="00F97162"/>
    <w:rsid w:val="00FA16EF"/>
    <w:rsid w:val="00FA4865"/>
    <w:rsid w:val="00FA581F"/>
    <w:rsid w:val="00FA6912"/>
    <w:rsid w:val="00FB0A47"/>
    <w:rsid w:val="00FB3025"/>
    <w:rsid w:val="00FB56AE"/>
    <w:rsid w:val="00FB5E5B"/>
    <w:rsid w:val="00FC189A"/>
    <w:rsid w:val="00FC4DF5"/>
    <w:rsid w:val="00FC5AA6"/>
    <w:rsid w:val="00FC6823"/>
    <w:rsid w:val="00FC7BCC"/>
    <w:rsid w:val="00FC7FDF"/>
    <w:rsid w:val="00FD2929"/>
    <w:rsid w:val="00FD3118"/>
    <w:rsid w:val="00FD4590"/>
    <w:rsid w:val="00FD619D"/>
    <w:rsid w:val="00FD659E"/>
    <w:rsid w:val="00FD6F5A"/>
    <w:rsid w:val="00FD796D"/>
    <w:rsid w:val="00FE251C"/>
    <w:rsid w:val="00FE3329"/>
    <w:rsid w:val="00FE4A64"/>
    <w:rsid w:val="00FF5906"/>
    <w:rsid w:val="00FF6AC7"/>
    <w:rsid w:val="00FF7167"/>
    <w:rsid w:val="0277727D"/>
    <w:rsid w:val="032A4C70"/>
    <w:rsid w:val="036006A1"/>
    <w:rsid w:val="03C055D4"/>
    <w:rsid w:val="03FF4E45"/>
    <w:rsid w:val="04BC3FEE"/>
    <w:rsid w:val="04D81644"/>
    <w:rsid w:val="05681A7F"/>
    <w:rsid w:val="06F51A39"/>
    <w:rsid w:val="071023CF"/>
    <w:rsid w:val="0822685D"/>
    <w:rsid w:val="08BF40AC"/>
    <w:rsid w:val="09366E48"/>
    <w:rsid w:val="09F50BDC"/>
    <w:rsid w:val="0A401619"/>
    <w:rsid w:val="0CB87790"/>
    <w:rsid w:val="0D42494F"/>
    <w:rsid w:val="0E5C239D"/>
    <w:rsid w:val="0F2C75EB"/>
    <w:rsid w:val="0F3155D8"/>
    <w:rsid w:val="0F5C4047"/>
    <w:rsid w:val="107439CE"/>
    <w:rsid w:val="118F36B8"/>
    <w:rsid w:val="12F368C9"/>
    <w:rsid w:val="131B53CF"/>
    <w:rsid w:val="14942891"/>
    <w:rsid w:val="14A4588B"/>
    <w:rsid w:val="15776271"/>
    <w:rsid w:val="15C9656A"/>
    <w:rsid w:val="16210154"/>
    <w:rsid w:val="18A60DE5"/>
    <w:rsid w:val="19263CD4"/>
    <w:rsid w:val="1B323FFD"/>
    <w:rsid w:val="1B501DE7"/>
    <w:rsid w:val="1C0C0F5F"/>
    <w:rsid w:val="1D725739"/>
    <w:rsid w:val="1DE55F0B"/>
    <w:rsid w:val="1DF85E99"/>
    <w:rsid w:val="1E731769"/>
    <w:rsid w:val="1EF5196A"/>
    <w:rsid w:val="1F3709E9"/>
    <w:rsid w:val="1FDC7BDF"/>
    <w:rsid w:val="213276BA"/>
    <w:rsid w:val="21F26E49"/>
    <w:rsid w:val="23922A1D"/>
    <w:rsid w:val="23CB7951"/>
    <w:rsid w:val="24194B61"/>
    <w:rsid w:val="262670C1"/>
    <w:rsid w:val="26EA4BC5"/>
    <w:rsid w:val="27966CBE"/>
    <w:rsid w:val="283B419B"/>
    <w:rsid w:val="289E5635"/>
    <w:rsid w:val="2A375D41"/>
    <w:rsid w:val="2A834AE2"/>
    <w:rsid w:val="2A88783E"/>
    <w:rsid w:val="2B8C79C6"/>
    <w:rsid w:val="2B911481"/>
    <w:rsid w:val="2E6966E5"/>
    <w:rsid w:val="2F6704D8"/>
    <w:rsid w:val="2FAF18EC"/>
    <w:rsid w:val="31CE233D"/>
    <w:rsid w:val="327619D7"/>
    <w:rsid w:val="331C3D26"/>
    <w:rsid w:val="33F46B2D"/>
    <w:rsid w:val="34013646"/>
    <w:rsid w:val="36C344B8"/>
    <w:rsid w:val="38DA426D"/>
    <w:rsid w:val="39400042"/>
    <w:rsid w:val="3A145757"/>
    <w:rsid w:val="3D347EBE"/>
    <w:rsid w:val="3D5565A9"/>
    <w:rsid w:val="3E1A70B4"/>
    <w:rsid w:val="3F4D34B9"/>
    <w:rsid w:val="43B90306"/>
    <w:rsid w:val="44C10289"/>
    <w:rsid w:val="44CE5A6E"/>
    <w:rsid w:val="45CF6DB3"/>
    <w:rsid w:val="47413589"/>
    <w:rsid w:val="4A006ED6"/>
    <w:rsid w:val="4B090CDC"/>
    <w:rsid w:val="4B663FE5"/>
    <w:rsid w:val="4D371A30"/>
    <w:rsid w:val="4DA84DB3"/>
    <w:rsid w:val="4DBA7F6B"/>
    <w:rsid w:val="4E636855"/>
    <w:rsid w:val="4ED82D9F"/>
    <w:rsid w:val="4F1F09CE"/>
    <w:rsid w:val="4FCC3F86"/>
    <w:rsid w:val="502F2E92"/>
    <w:rsid w:val="50ED2406"/>
    <w:rsid w:val="51235C08"/>
    <w:rsid w:val="52CA20B7"/>
    <w:rsid w:val="536C1ECE"/>
    <w:rsid w:val="557430F6"/>
    <w:rsid w:val="56D976B4"/>
    <w:rsid w:val="571E77BD"/>
    <w:rsid w:val="59684D1F"/>
    <w:rsid w:val="598C349F"/>
    <w:rsid w:val="59F760A3"/>
    <w:rsid w:val="5B312CA1"/>
    <w:rsid w:val="5C32229E"/>
    <w:rsid w:val="5CBA7F88"/>
    <w:rsid w:val="5E3A6AB6"/>
    <w:rsid w:val="5E8410F4"/>
    <w:rsid w:val="5EE513A4"/>
    <w:rsid w:val="5EE70DDC"/>
    <w:rsid w:val="5F337B7D"/>
    <w:rsid w:val="5FAD5B82"/>
    <w:rsid w:val="60330EF2"/>
    <w:rsid w:val="614B5652"/>
    <w:rsid w:val="62D00E2B"/>
    <w:rsid w:val="64524F4A"/>
    <w:rsid w:val="649966D5"/>
    <w:rsid w:val="65D11E9E"/>
    <w:rsid w:val="678E4B82"/>
    <w:rsid w:val="67CC0B6F"/>
    <w:rsid w:val="69232A33"/>
    <w:rsid w:val="6A617C95"/>
    <w:rsid w:val="6A753097"/>
    <w:rsid w:val="6AFC53DE"/>
    <w:rsid w:val="6B9473A4"/>
    <w:rsid w:val="6C3D028D"/>
    <w:rsid w:val="6C731F01"/>
    <w:rsid w:val="6E290AC9"/>
    <w:rsid w:val="6EBE79FD"/>
    <w:rsid w:val="71F96A05"/>
    <w:rsid w:val="72233A82"/>
    <w:rsid w:val="73893DB8"/>
    <w:rsid w:val="764001A5"/>
    <w:rsid w:val="78852DA0"/>
    <w:rsid w:val="795132CE"/>
    <w:rsid w:val="79740101"/>
    <w:rsid w:val="79872B48"/>
    <w:rsid w:val="79881FD6"/>
    <w:rsid w:val="79A568A6"/>
    <w:rsid w:val="7B861286"/>
    <w:rsid w:val="7CE342B8"/>
    <w:rsid w:val="7F2958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1"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1" w:semiHidden="0" w:name="List Number 2"/>
    <w:lsdException w:qFormat="1" w:uiPriority="18" w:semiHidden="0" w:name="List Number 3"/>
    <w:lsdException w:qFormat="1" w:uiPriority="18" w:semiHidden="0" w:name="List Number 4"/>
    <w:lsdException w:qFormat="1" w:uiPriority="18" w:semiHidden="0"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38"/>
    <w:autoRedefine/>
    <w:qFormat/>
    <w:uiPriority w:val="0"/>
    <w:pPr>
      <w:keepNext/>
      <w:keepLines/>
      <w:spacing w:before="260" w:after="260" w:line="416" w:lineRule="auto"/>
      <w:outlineLvl w:val="2"/>
    </w:pPr>
    <w:rPr>
      <w:b/>
      <w:bCs/>
      <w:sz w:val="32"/>
      <w:szCs w:val="32"/>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3">
    <w:name w:val="List Number 2"/>
    <w:basedOn w:val="1"/>
    <w:autoRedefine/>
    <w:unhideWhenUsed/>
    <w:qFormat/>
    <w:uiPriority w:val="1"/>
    <w:pPr>
      <w:widowControl/>
      <w:numPr>
        <w:ilvl w:val="1"/>
        <w:numId w:val="1"/>
      </w:numPr>
      <w:ind w:left="431" w:hanging="431"/>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4">
    <w:name w:val="List Number"/>
    <w:basedOn w:val="1"/>
    <w:autoRedefine/>
    <w:unhideWhenUsed/>
    <w:qFormat/>
    <w:uiPriority w:val="1"/>
    <w:pPr>
      <w:widowControl/>
      <w:numPr>
        <w:ilvl w:val="0"/>
        <w:numId w:val="1"/>
      </w:numPr>
      <w:ind w:left="357" w:hanging="357"/>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5">
    <w:name w:val="Body Text Indent"/>
    <w:basedOn w:val="1"/>
    <w:link w:val="30"/>
    <w:autoRedefine/>
    <w:qFormat/>
    <w:uiPriority w:val="0"/>
    <w:pPr>
      <w:tabs>
        <w:tab w:val="left" w:pos="480"/>
      </w:tabs>
      <w:spacing w:line="560" w:lineRule="exact"/>
      <w:ind w:firstLine="480"/>
      <w:jc w:val="left"/>
    </w:pPr>
    <w:rPr>
      <w:rFonts w:ascii="宋体" w:hAnsi="宋体"/>
      <w:sz w:val="24"/>
    </w:rPr>
  </w:style>
  <w:style w:type="paragraph" w:styleId="6">
    <w:name w:val="List Number 3"/>
    <w:basedOn w:val="1"/>
    <w:autoRedefine/>
    <w:unhideWhenUsed/>
    <w:qFormat/>
    <w:uiPriority w:val="18"/>
    <w:pPr>
      <w:widowControl/>
      <w:numPr>
        <w:ilvl w:val="2"/>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7">
    <w:name w:val="Plain Text"/>
    <w:basedOn w:val="1"/>
    <w:link w:val="42"/>
    <w:autoRedefine/>
    <w:qFormat/>
    <w:uiPriority w:val="0"/>
    <w:rPr>
      <w:rFonts w:ascii="宋体" w:hAnsi="Courier New"/>
    </w:rPr>
  </w:style>
  <w:style w:type="paragraph" w:styleId="8">
    <w:name w:val="List Number 4"/>
    <w:basedOn w:val="1"/>
    <w:autoRedefine/>
    <w:unhideWhenUsed/>
    <w:qFormat/>
    <w:uiPriority w:val="18"/>
    <w:pPr>
      <w:widowControl/>
      <w:numPr>
        <w:ilvl w:val="3"/>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9">
    <w:name w:val="Date"/>
    <w:basedOn w:val="1"/>
    <w:next w:val="1"/>
    <w:link w:val="35"/>
    <w:autoRedefine/>
    <w:qFormat/>
    <w:uiPriority w:val="0"/>
    <w:pPr>
      <w:adjustRightInd w:val="0"/>
      <w:spacing w:line="360" w:lineRule="atLeast"/>
      <w:textAlignment w:val="baseline"/>
    </w:pPr>
    <w:rPr>
      <w:sz w:val="32"/>
    </w:rPr>
  </w:style>
  <w:style w:type="paragraph" w:styleId="10">
    <w:name w:val="Body Text Indent 2"/>
    <w:basedOn w:val="1"/>
    <w:link w:val="37"/>
    <w:autoRedefine/>
    <w:semiHidden/>
    <w:unhideWhenUsed/>
    <w:qFormat/>
    <w:uiPriority w:val="99"/>
    <w:pPr>
      <w:spacing w:after="120" w:line="480" w:lineRule="auto"/>
      <w:ind w:left="420" w:leftChars="200"/>
    </w:pPr>
  </w:style>
  <w:style w:type="paragraph" w:styleId="11">
    <w:name w:val="footer"/>
    <w:basedOn w:val="1"/>
    <w:link w:val="34"/>
    <w:autoRedefine/>
    <w:unhideWhenUsed/>
    <w:qFormat/>
    <w:uiPriority w:val="99"/>
    <w:pPr>
      <w:tabs>
        <w:tab w:val="center" w:pos="4153"/>
        <w:tab w:val="right" w:pos="8306"/>
      </w:tabs>
      <w:snapToGrid w:val="0"/>
      <w:jc w:val="left"/>
    </w:pPr>
    <w:rPr>
      <w:sz w:val="18"/>
      <w:szCs w:val="18"/>
    </w:rPr>
  </w:style>
  <w:style w:type="paragraph" w:styleId="12">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pPr>
      <w:tabs>
        <w:tab w:val="right" w:leader="middleDot" w:pos="8302"/>
      </w:tabs>
      <w:spacing w:line="360" w:lineRule="auto"/>
    </w:pPr>
  </w:style>
  <w:style w:type="paragraph" w:styleId="14">
    <w:name w:val="Subtitle"/>
    <w:basedOn w:val="1"/>
    <w:next w:val="1"/>
    <w:link w:val="32"/>
    <w:autoRedefine/>
    <w:qFormat/>
    <w:uiPriority w:val="11"/>
    <w:pPr>
      <w:spacing w:before="240" w:after="60" w:line="312" w:lineRule="auto"/>
      <w:jc w:val="center"/>
      <w:outlineLvl w:val="1"/>
    </w:pPr>
    <w:rPr>
      <w:rFonts w:ascii="Cambria" w:hAnsi="Cambria"/>
      <w:b/>
      <w:bCs/>
      <w:kern w:val="28"/>
      <w:sz w:val="32"/>
      <w:szCs w:val="32"/>
    </w:rPr>
  </w:style>
  <w:style w:type="paragraph" w:styleId="15">
    <w:name w:val="List Number 5"/>
    <w:basedOn w:val="1"/>
    <w:autoRedefine/>
    <w:unhideWhenUsed/>
    <w:qFormat/>
    <w:uiPriority w:val="18"/>
    <w:pPr>
      <w:widowControl/>
      <w:numPr>
        <w:ilvl w:val="4"/>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6">
    <w:name w:val="Body Text Indent 3"/>
    <w:basedOn w:val="1"/>
    <w:link w:val="43"/>
    <w:autoRedefine/>
    <w:semiHidden/>
    <w:unhideWhenUsed/>
    <w:qFormat/>
    <w:uiPriority w:val="99"/>
    <w:pPr>
      <w:spacing w:after="120"/>
      <w:ind w:left="420" w:leftChars="200"/>
    </w:pPr>
    <w:rPr>
      <w:sz w:val="16"/>
      <w:szCs w:val="16"/>
    </w:rPr>
  </w:style>
  <w:style w:type="paragraph" w:styleId="17">
    <w:name w:val="Body Text 2"/>
    <w:basedOn w:val="1"/>
    <w:link w:val="39"/>
    <w:autoRedefine/>
    <w:semiHidden/>
    <w:unhideWhenUsed/>
    <w:qFormat/>
    <w:uiPriority w:val="99"/>
    <w:pPr>
      <w:spacing w:after="120" w:line="480" w:lineRule="auto"/>
    </w:pPr>
  </w:style>
  <w:style w:type="paragraph" w:styleId="18">
    <w:name w:val="Title"/>
    <w:basedOn w:val="1"/>
    <w:next w:val="1"/>
    <w:autoRedefine/>
    <w:qFormat/>
    <w:uiPriority w:val="10"/>
    <w:pPr>
      <w:spacing w:before="240" w:after="60"/>
      <w:jc w:val="center"/>
      <w:outlineLvl w:val="0"/>
    </w:pPr>
    <w:rPr>
      <w:rFonts w:eastAsia="宋体" w:asciiTheme="majorHAnsi" w:hAnsiTheme="majorHAnsi" w:cstheme="majorBidi"/>
      <w:b/>
      <w:bCs/>
      <w:sz w:val="32"/>
      <w:szCs w:val="32"/>
    </w:r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autoRedefine/>
    <w:qFormat/>
    <w:uiPriority w:val="22"/>
    <w:rPr>
      <w:b/>
      <w:bCs/>
    </w:rPr>
  </w:style>
  <w:style w:type="character" w:styleId="23">
    <w:name w:val="FollowedHyperlink"/>
    <w:basedOn w:val="21"/>
    <w:autoRedefine/>
    <w:semiHidden/>
    <w:unhideWhenUsed/>
    <w:qFormat/>
    <w:uiPriority w:val="99"/>
    <w:rPr>
      <w:color w:val="800080" w:themeColor="followedHyperlink"/>
      <w:u w:val="single"/>
      <w14:textFill>
        <w14:solidFill>
          <w14:schemeClr w14:val="folHlink"/>
        </w14:solidFill>
      </w14:textFill>
    </w:rPr>
  </w:style>
  <w:style w:type="character" w:styleId="24">
    <w:name w:val="HTML Definition"/>
    <w:basedOn w:val="21"/>
    <w:autoRedefine/>
    <w:semiHidden/>
    <w:unhideWhenUsed/>
    <w:qFormat/>
    <w:uiPriority w:val="99"/>
    <w:rPr>
      <w:i/>
      <w:iCs/>
    </w:rPr>
  </w:style>
  <w:style w:type="character" w:styleId="25">
    <w:name w:val="Hyperlink"/>
    <w:basedOn w:val="21"/>
    <w:autoRedefine/>
    <w:unhideWhenUsed/>
    <w:qFormat/>
    <w:uiPriority w:val="99"/>
    <w:rPr>
      <w:color w:val="0000FF" w:themeColor="hyperlink"/>
      <w:u w:val="single"/>
      <w14:textFill>
        <w14:solidFill>
          <w14:schemeClr w14:val="hlink"/>
        </w14:solidFill>
      </w14:textFill>
    </w:rPr>
  </w:style>
  <w:style w:type="character" w:styleId="26">
    <w:name w:val="HTML Code"/>
    <w:basedOn w:val="21"/>
    <w:autoRedefine/>
    <w:semiHidden/>
    <w:unhideWhenUsed/>
    <w:qFormat/>
    <w:uiPriority w:val="99"/>
    <w:rPr>
      <w:rFonts w:hint="default" w:ascii="Consolas" w:hAnsi="Consolas" w:eastAsia="Consolas" w:cs="Consolas"/>
      <w:color w:val="C7254E"/>
      <w:sz w:val="21"/>
      <w:szCs w:val="21"/>
      <w:shd w:val="clear" w:fill="F9F2F4"/>
    </w:rPr>
  </w:style>
  <w:style w:type="character" w:styleId="27">
    <w:name w:val="HTML Cite"/>
    <w:basedOn w:val="21"/>
    <w:autoRedefine/>
    <w:semiHidden/>
    <w:unhideWhenUsed/>
    <w:qFormat/>
    <w:uiPriority w:val="99"/>
  </w:style>
  <w:style w:type="character" w:styleId="28">
    <w:name w:val="HTML Keyboard"/>
    <w:basedOn w:val="21"/>
    <w:autoRedefine/>
    <w:semiHidden/>
    <w:unhideWhenUsed/>
    <w:qFormat/>
    <w:uiPriority w:val="99"/>
    <w:rPr>
      <w:rFonts w:ascii="Consolas" w:hAnsi="Consolas" w:eastAsia="Consolas" w:cs="Consolas"/>
      <w:sz w:val="21"/>
      <w:szCs w:val="21"/>
    </w:rPr>
  </w:style>
  <w:style w:type="character" w:styleId="29">
    <w:name w:val="HTML Sample"/>
    <w:basedOn w:val="21"/>
    <w:autoRedefine/>
    <w:semiHidden/>
    <w:unhideWhenUsed/>
    <w:qFormat/>
    <w:uiPriority w:val="99"/>
    <w:rPr>
      <w:rFonts w:hint="default" w:ascii="Consolas" w:hAnsi="Consolas" w:eastAsia="Consolas" w:cs="Consolas"/>
      <w:sz w:val="21"/>
      <w:szCs w:val="21"/>
    </w:rPr>
  </w:style>
  <w:style w:type="character" w:customStyle="1" w:styleId="30">
    <w:name w:val="正文文本缩进 Char"/>
    <w:basedOn w:val="21"/>
    <w:link w:val="5"/>
    <w:autoRedefine/>
    <w:qFormat/>
    <w:uiPriority w:val="0"/>
    <w:rPr>
      <w:rFonts w:ascii="宋体" w:hAnsi="宋体" w:eastAsia="宋体" w:cs="Times New Roman"/>
      <w:sz w:val="24"/>
      <w:szCs w:val="20"/>
    </w:rPr>
  </w:style>
  <w:style w:type="paragraph" w:customStyle="1" w:styleId="31">
    <w:name w:val="Default"/>
    <w:link w:val="50"/>
    <w:autoRedefine/>
    <w:qFormat/>
    <w:uiPriority w:val="0"/>
    <w:pPr>
      <w:widowControl w:val="0"/>
      <w:autoSpaceDE w:val="0"/>
      <w:autoSpaceDN w:val="0"/>
      <w:adjustRightInd w:val="0"/>
    </w:pPr>
    <w:rPr>
      <w:rFonts w:ascii="......." w:hAnsi="Calibri" w:eastAsia="......." w:cs="......."/>
      <w:color w:val="000000"/>
      <w:kern w:val="0"/>
      <w:sz w:val="24"/>
      <w:szCs w:val="24"/>
      <w:lang w:val="en-US" w:eastAsia="zh-CN" w:bidi="ar-SA"/>
    </w:rPr>
  </w:style>
  <w:style w:type="character" w:customStyle="1" w:styleId="32">
    <w:name w:val="副标题 Char"/>
    <w:basedOn w:val="21"/>
    <w:link w:val="14"/>
    <w:autoRedefine/>
    <w:qFormat/>
    <w:uiPriority w:val="11"/>
    <w:rPr>
      <w:rFonts w:ascii="Cambria" w:hAnsi="Cambria" w:eastAsia="宋体" w:cs="Times New Roman"/>
      <w:b/>
      <w:bCs/>
      <w:kern w:val="28"/>
      <w:sz w:val="32"/>
      <w:szCs w:val="32"/>
    </w:rPr>
  </w:style>
  <w:style w:type="character" w:customStyle="1" w:styleId="33">
    <w:name w:val="页眉 Char"/>
    <w:basedOn w:val="21"/>
    <w:link w:val="12"/>
    <w:autoRedefine/>
    <w:qFormat/>
    <w:uiPriority w:val="99"/>
    <w:rPr>
      <w:rFonts w:ascii="Times New Roman" w:hAnsi="Times New Roman" w:eastAsia="宋体" w:cs="Times New Roman"/>
      <w:sz w:val="18"/>
      <w:szCs w:val="18"/>
    </w:rPr>
  </w:style>
  <w:style w:type="character" w:customStyle="1" w:styleId="34">
    <w:name w:val="页脚 Char"/>
    <w:basedOn w:val="21"/>
    <w:link w:val="11"/>
    <w:autoRedefine/>
    <w:qFormat/>
    <w:uiPriority w:val="99"/>
    <w:rPr>
      <w:rFonts w:ascii="Times New Roman" w:hAnsi="Times New Roman" w:eastAsia="宋体" w:cs="Times New Roman"/>
      <w:sz w:val="18"/>
      <w:szCs w:val="18"/>
    </w:rPr>
  </w:style>
  <w:style w:type="character" w:customStyle="1" w:styleId="35">
    <w:name w:val="日期 Char"/>
    <w:basedOn w:val="21"/>
    <w:link w:val="9"/>
    <w:autoRedefine/>
    <w:qFormat/>
    <w:uiPriority w:val="0"/>
    <w:rPr>
      <w:rFonts w:ascii="Times New Roman" w:hAnsi="Times New Roman" w:eastAsia="宋体" w:cs="Times New Roman"/>
      <w:sz w:val="32"/>
      <w:szCs w:val="20"/>
    </w:rPr>
  </w:style>
  <w:style w:type="paragraph" w:styleId="36">
    <w:name w:val="List Paragraph"/>
    <w:basedOn w:val="1"/>
    <w:link w:val="52"/>
    <w:autoRedefine/>
    <w:qFormat/>
    <w:uiPriority w:val="34"/>
    <w:pPr>
      <w:ind w:firstLine="420" w:firstLineChars="200"/>
    </w:pPr>
  </w:style>
  <w:style w:type="character" w:customStyle="1" w:styleId="37">
    <w:name w:val="正文文本缩进 2 Char"/>
    <w:basedOn w:val="21"/>
    <w:link w:val="10"/>
    <w:autoRedefine/>
    <w:semiHidden/>
    <w:qFormat/>
    <w:uiPriority w:val="99"/>
    <w:rPr>
      <w:rFonts w:ascii="Times New Roman" w:hAnsi="Times New Roman" w:eastAsia="宋体" w:cs="Times New Roman"/>
      <w:szCs w:val="20"/>
    </w:rPr>
  </w:style>
  <w:style w:type="character" w:customStyle="1" w:styleId="38">
    <w:name w:val="标题 3 Char"/>
    <w:basedOn w:val="21"/>
    <w:link w:val="2"/>
    <w:autoRedefine/>
    <w:qFormat/>
    <w:uiPriority w:val="0"/>
    <w:rPr>
      <w:rFonts w:ascii="Times New Roman" w:hAnsi="Times New Roman" w:eastAsia="宋体" w:cs="Times New Roman"/>
      <w:b/>
      <w:bCs/>
      <w:sz w:val="32"/>
      <w:szCs w:val="32"/>
    </w:rPr>
  </w:style>
  <w:style w:type="character" w:customStyle="1" w:styleId="39">
    <w:name w:val="正文文本 2 Char"/>
    <w:basedOn w:val="21"/>
    <w:link w:val="17"/>
    <w:autoRedefine/>
    <w:semiHidden/>
    <w:qFormat/>
    <w:uiPriority w:val="99"/>
    <w:rPr>
      <w:rFonts w:ascii="Times New Roman" w:hAnsi="Times New Roman" w:eastAsia="宋体" w:cs="Times New Roman"/>
      <w:szCs w:val="20"/>
    </w:rPr>
  </w:style>
  <w:style w:type="paragraph" w:customStyle="1" w:styleId="40">
    <w:name w:val="Char"/>
    <w:basedOn w:val="1"/>
    <w:autoRedefine/>
    <w:qFormat/>
    <w:uiPriority w:val="0"/>
    <w:pPr>
      <w:tabs>
        <w:tab w:val="left" w:pos="360"/>
      </w:tabs>
    </w:pPr>
    <w:rPr>
      <w:sz w:val="24"/>
      <w:szCs w:val="24"/>
    </w:rPr>
  </w:style>
  <w:style w:type="character" w:customStyle="1" w:styleId="41">
    <w:name w:val="纯文本 Char"/>
    <w:basedOn w:val="21"/>
    <w:autoRedefine/>
    <w:semiHidden/>
    <w:qFormat/>
    <w:uiPriority w:val="99"/>
    <w:rPr>
      <w:rFonts w:ascii="宋体" w:hAnsi="Courier New" w:eastAsia="宋体" w:cs="Courier New"/>
      <w:szCs w:val="21"/>
    </w:rPr>
  </w:style>
  <w:style w:type="character" w:customStyle="1" w:styleId="42">
    <w:name w:val="纯文本 Char1"/>
    <w:link w:val="7"/>
    <w:autoRedefine/>
    <w:qFormat/>
    <w:locked/>
    <w:uiPriority w:val="0"/>
    <w:rPr>
      <w:rFonts w:ascii="宋体" w:hAnsi="Courier New" w:eastAsia="宋体" w:cs="Times New Roman"/>
      <w:szCs w:val="20"/>
    </w:rPr>
  </w:style>
  <w:style w:type="character" w:customStyle="1" w:styleId="43">
    <w:name w:val="正文文本缩进 3 Char"/>
    <w:basedOn w:val="21"/>
    <w:link w:val="16"/>
    <w:autoRedefine/>
    <w:semiHidden/>
    <w:qFormat/>
    <w:uiPriority w:val="99"/>
    <w:rPr>
      <w:rFonts w:ascii="Times New Roman" w:hAnsi="Times New Roman" w:eastAsia="宋体" w:cs="Times New Roman"/>
      <w:sz w:val="16"/>
      <w:szCs w:val="16"/>
    </w:rPr>
  </w:style>
  <w:style w:type="paragraph" w:customStyle="1" w:styleId="44">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Char1"/>
    <w:basedOn w:val="1"/>
    <w:autoRedefine/>
    <w:qFormat/>
    <w:uiPriority w:val="0"/>
    <w:pPr>
      <w:tabs>
        <w:tab w:val="left" w:pos="360"/>
      </w:tabs>
    </w:pPr>
    <w:rPr>
      <w:sz w:val="24"/>
      <w:szCs w:val="24"/>
    </w:rPr>
  </w:style>
  <w:style w:type="paragraph" w:customStyle="1" w:styleId="49">
    <w:name w:val="列出段落1"/>
    <w:basedOn w:val="1"/>
    <w:autoRedefine/>
    <w:semiHidden/>
    <w:qFormat/>
    <w:uiPriority w:val="34"/>
    <w:pPr>
      <w:widowControl/>
      <w:spacing w:before="40" w:after="160"/>
      <w:ind w:firstLine="420" w:firstLineChars="200"/>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character" w:customStyle="1" w:styleId="50">
    <w:name w:val="Default Char"/>
    <w:link w:val="31"/>
    <w:autoRedefine/>
    <w:qFormat/>
    <w:locked/>
    <w:uiPriority w:val="0"/>
    <w:rPr>
      <w:rFonts w:ascii="......." w:hAnsi="Calibri" w:eastAsia="......." w:cs="......."/>
      <w:color w:val="000000"/>
      <w:kern w:val="0"/>
      <w:sz w:val="24"/>
      <w:szCs w:val="24"/>
    </w:rPr>
  </w:style>
  <w:style w:type="paragraph" w:customStyle="1" w:styleId="51">
    <w:name w:val="首行缩进"/>
    <w:basedOn w:val="1"/>
    <w:autoRedefine/>
    <w:qFormat/>
    <w:uiPriority w:val="0"/>
    <w:pPr>
      <w:spacing w:line="360" w:lineRule="auto"/>
      <w:ind w:firstLine="480" w:firstLineChars="200"/>
    </w:pPr>
    <w:rPr>
      <w:rFonts w:ascii="Calibri" w:hAnsi="Calibri"/>
      <w:sz w:val="24"/>
      <w:szCs w:val="22"/>
      <w:lang w:val="zh-CN"/>
    </w:rPr>
  </w:style>
  <w:style w:type="character" w:customStyle="1" w:styleId="52">
    <w:name w:val="列出段落 Char"/>
    <w:link w:val="36"/>
    <w:autoRedefine/>
    <w:qFormat/>
    <w:uiPriority w:val="34"/>
    <w:rPr>
      <w:rFonts w:ascii="Times New Roman" w:hAnsi="Times New Roman" w:eastAsia="宋体" w:cs="Times New Roman"/>
      <w:szCs w:val="20"/>
    </w:rPr>
  </w:style>
  <w:style w:type="character" w:customStyle="1" w:styleId="53">
    <w:name w:val="fielderror"/>
    <w:basedOn w:val="21"/>
    <w:autoRedefine/>
    <w:qFormat/>
    <w:uiPriority w:val="0"/>
    <w:rPr>
      <w:color w:val="800000"/>
    </w:rPr>
  </w:style>
  <w:style w:type="character" w:customStyle="1" w:styleId="54">
    <w:name w:val="tab2"/>
    <w:basedOn w:val="21"/>
    <w:autoRedefine/>
    <w:qFormat/>
    <w:uiPriority w:val="0"/>
    <w:rPr>
      <w:color w:val="333366"/>
    </w:rPr>
  </w:style>
  <w:style w:type="character" w:customStyle="1" w:styleId="55">
    <w:name w:val="required"/>
    <w:basedOn w:val="21"/>
    <w:autoRedefine/>
    <w:qFormat/>
    <w:uiPriority w:val="0"/>
    <w:rPr>
      <w:color w:val="FF0000"/>
    </w:rPr>
  </w:style>
  <w:style w:type="character" w:customStyle="1" w:styleId="56">
    <w:name w:val="layui-this"/>
    <w:basedOn w:val="21"/>
    <w:autoRedefine/>
    <w:qFormat/>
    <w:uiPriority w:val="0"/>
    <w:rPr>
      <w:bdr w:val="single" w:color="EEEEEE" w:sz="6" w:space="0"/>
      <w:shd w:val="clear" w:fill="FFFFFF"/>
    </w:rPr>
  </w:style>
  <w:style w:type="character" w:customStyle="1" w:styleId="57">
    <w:name w:val="first-child"/>
    <w:basedOn w:val="21"/>
    <w:autoRedefine/>
    <w:qFormat/>
    <w:uiPriority w:val="0"/>
  </w:style>
  <w:style w:type="character" w:customStyle="1" w:styleId="58">
    <w:name w:val="tab1"/>
    <w:basedOn w:val="21"/>
    <w:autoRedefine/>
    <w:qFormat/>
    <w:uiPriority w:val="0"/>
  </w:style>
  <w:style w:type="character" w:customStyle="1" w:styleId="59">
    <w:name w:val="active6"/>
    <w:basedOn w:val="21"/>
    <w:autoRedefine/>
    <w:qFormat/>
    <w:uiPriority w:val="0"/>
    <w:rPr>
      <w:color w:val="FFFFFF"/>
    </w:rPr>
  </w:style>
  <w:style w:type="character" w:customStyle="1" w:styleId="60">
    <w:name w:val="hilite6"/>
    <w:basedOn w:val="21"/>
    <w:autoRedefine/>
    <w:qFormat/>
    <w:uiPriority w:val="0"/>
    <w:rPr>
      <w:color w:val="000000"/>
    </w:rPr>
  </w:style>
  <w:style w:type="character" w:customStyle="1" w:styleId="61">
    <w:name w:val="active1"/>
    <w:basedOn w:val="21"/>
    <w:autoRedefine/>
    <w:qFormat/>
    <w:uiPriority w:val="0"/>
    <w:rPr>
      <w:color w:val="FFFFFF"/>
    </w:rPr>
  </w:style>
  <w:style w:type="character" w:customStyle="1" w:styleId="62">
    <w:name w:val="hilite"/>
    <w:basedOn w:val="21"/>
    <w:autoRedefine/>
    <w:qFormat/>
    <w:uiPriority w:val="0"/>
    <w:rPr>
      <w:color w:val="000000"/>
    </w:rPr>
  </w:style>
  <w:style w:type="character" w:customStyle="1" w:styleId="63">
    <w:name w:val="active"/>
    <w:basedOn w:val="21"/>
    <w:autoRedefine/>
    <w:qFormat/>
    <w:uiPriority w:val="0"/>
    <w:rPr>
      <w:color w:val="FFFFFF"/>
    </w:rPr>
  </w:style>
  <w:style w:type="character" w:customStyle="1" w:styleId="64">
    <w:name w:val="active7"/>
    <w:basedOn w:val="21"/>
    <w:autoRedefine/>
    <w:qFormat/>
    <w:uiPriority w:val="0"/>
    <w:rPr>
      <w:color w:val="FFFFFF"/>
    </w:rPr>
  </w:style>
  <w:style w:type="character" w:customStyle="1" w:styleId="65">
    <w:name w:val="l-btn-left"/>
    <w:basedOn w:val="21"/>
    <w:autoRedefine/>
    <w:qFormat/>
    <w:uiPriority w:val="0"/>
  </w:style>
  <w:style w:type="character" w:customStyle="1" w:styleId="66">
    <w:name w:val="l-btn-left1"/>
    <w:basedOn w:val="21"/>
    <w:autoRedefine/>
    <w:qFormat/>
    <w:uiPriority w:val="0"/>
  </w:style>
  <w:style w:type="character" w:customStyle="1" w:styleId="67">
    <w:name w:val="l-btn-left2"/>
    <w:basedOn w:val="21"/>
    <w:autoRedefine/>
    <w:qFormat/>
    <w:uiPriority w:val="0"/>
  </w:style>
  <w:style w:type="character" w:customStyle="1" w:styleId="68">
    <w:name w:val="checked"/>
    <w:basedOn w:val="21"/>
    <w:autoRedefine/>
    <w:qFormat/>
    <w:uiPriority w:val="0"/>
  </w:style>
  <w:style w:type="character" w:customStyle="1" w:styleId="69">
    <w:name w:val="checked1"/>
    <w:basedOn w:val="21"/>
    <w:autoRedefine/>
    <w:qFormat/>
    <w:uiPriority w:val="0"/>
  </w:style>
  <w:style w:type="character" w:customStyle="1" w:styleId="70">
    <w:name w:val="l-btn-icon-right"/>
    <w:basedOn w:val="21"/>
    <w:autoRedefine/>
    <w:qFormat/>
    <w:uiPriority w:val="0"/>
  </w:style>
  <w:style w:type="character" w:customStyle="1" w:styleId="71">
    <w:name w:val="l-btn-text"/>
    <w:basedOn w:val="21"/>
    <w:autoRedefine/>
    <w:qFormat/>
    <w:uiPriority w:val="0"/>
  </w:style>
  <w:style w:type="character" w:customStyle="1" w:styleId="72">
    <w:name w:val="l-btn-text1"/>
    <w:basedOn w:val="21"/>
    <w:autoRedefine/>
    <w:qFormat/>
    <w:uiPriority w:val="0"/>
    <w:rPr>
      <w:sz w:val="18"/>
      <w:szCs w:val="18"/>
    </w:rPr>
  </w:style>
  <w:style w:type="character" w:customStyle="1" w:styleId="73">
    <w:name w:val="hour_pm"/>
    <w:basedOn w:val="21"/>
    <w:autoRedefine/>
    <w:qFormat/>
    <w:uiPriority w:val="0"/>
  </w:style>
  <w:style w:type="character" w:customStyle="1" w:styleId="74">
    <w:name w:val="filename"/>
    <w:basedOn w:val="21"/>
    <w:autoRedefine/>
    <w:qFormat/>
    <w:uiPriority w:val="0"/>
    <w:rPr>
      <w:color w:val="777777"/>
      <w:sz w:val="16"/>
      <w:szCs w:val="16"/>
    </w:rPr>
  </w:style>
  <w:style w:type="character" w:customStyle="1" w:styleId="75">
    <w:name w:val="hover3"/>
    <w:basedOn w:val="21"/>
    <w:autoRedefine/>
    <w:qFormat/>
    <w:uiPriority w:val="0"/>
    <w:rPr>
      <w:shd w:val="clear" w:fill="EEEEEE"/>
    </w:rPr>
  </w:style>
  <w:style w:type="character" w:customStyle="1" w:styleId="76">
    <w:name w:val="action"/>
    <w:basedOn w:val="21"/>
    <w:autoRedefine/>
    <w:qFormat/>
    <w:uiPriority w:val="0"/>
    <w:rPr>
      <w:b/>
      <w:bCs/>
      <w:sz w:val="16"/>
      <w:szCs w:val="16"/>
      <w:shd w:val="clear" w:fill="FFFFFF"/>
    </w:rPr>
  </w:style>
  <w:style w:type="character" w:customStyle="1" w:styleId="77">
    <w:name w:val="old"/>
    <w:basedOn w:val="21"/>
    <w:autoRedefine/>
    <w:qFormat/>
    <w:uiPriority w:val="0"/>
    <w:rPr>
      <w:color w:val="999999"/>
    </w:rPr>
  </w:style>
  <w:style w:type="character" w:customStyle="1" w:styleId="78">
    <w:name w:val="hour_am"/>
    <w:basedOn w:val="21"/>
    <w:autoRedefine/>
    <w:qFormat/>
    <w:uiPriority w:val="0"/>
  </w:style>
  <w:style w:type="character" w:customStyle="1" w:styleId="79">
    <w:name w:val="l-btn-icon-left"/>
    <w:basedOn w:val="21"/>
    <w:autoRedefine/>
    <w:qFormat/>
    <w:uiPriority w:val="0"/>
  </w:style>
  <w:style w:type="character" w:customStyle="1" w:styleId="80">
    <w:name w:val="l-btn-empty"/>
    <w:basedOn w:val="21"/>
    <w:autoRedefine/>
    <w:qFormat/>
    <w:uiPriority w:val="0"/>
  </w:style>
  <w:style w:type="paragraph" w:customStyle="1" w:styleId="81">
    <w:name w:val="_Style 79"/>
    <w:basedOn w:val="1"/>
    <w:next w:val="1"/>
    <w:autoRedefine/>
    <w:qFormat/>
    <w:uiPriority w:val="0"/>
    <w:pPr>
      <w:pBdr>
        <w:bottom w:val="single" w:color="auto" w:sz="6" w:space="1"/>
      </w:pBdr>
      <w:jc w:val="center"/>
    </w:pPr>
    <w:rPr>
      <w:rFonts w:ascii="Arial" w:eastAsia="宋体"/>
      <w:vanish/>
      <w:sz w:val="16"/>
    </w:rPr>
  </w:style>
  <w:style w:type="paragraph" w:customStyle="1" w:styleId="82">
    <w:name w:val="_Style 80"/>
    <w:basedOn w:val="1"/>
    <w:next w:val="1"/>
    <w:autoRedefine/>
    <w:qFormat/>
    <w:uiPriority w:val="0"/>
    <w:pPr>
      <w:pBdr>
        <w:top w:val="single" w:color="auto" w:sz="6" w:space="1"/>
      </w:pBdr>
      <w:jc w:val="center"/>
    </w:pPr>
    <w:rPr>
      <w:rFonts w:ascii="Arial" w:eastAsia="宋体"/>
      <w:vanish/>
      <w:sz w:val="16"/>
    </w:rPr>
  </w:style>
  <w:style w:type="character" w:customStyle="1" w:styleId="83">
    <w:name w:val="control-label9"/>
    <w:basedOn w:val="21"/>
    <w:autoRedefine/>
    <w:qFormat/>
    <w:uiPriority w:val="0"/>
  </w:style>
  <w:style w:type="character" w:customStyle="1" w:styleId="84">
    <w:name w:val="control-label5"/>
    <w:basedOn w:val="21"/>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DE59E-6A35-4F85-BCC6-CC4354C5B442}">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4351</Words>
  <Characters>24803</Characters>
  <Lines>206</Lines>
  <Paragraphs>58</Paragraphs>
  <TotalTime>0</TotalTime>
  <ScaleCrop>false</ScaleCrop>
  <LinksUpToDate>false</LinksUpToDate>
  <CharactersWithSpaces>29096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2017-08-03T11:19:00Z</dcterms:created>
  <dc:creator>未定义</dc:creator>
  <cp:lastModifiedBy>未定义</cp:lastModifiedBy>
  <dcterms:modified xsi:type="dcterms:W3CDTF">2024-04-19T02:17:27Z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15D4FF5B2C0C43DE85D9A9CB3DE595BD_13</vt:lpwstr>
  </property>
</Properties>
</file>